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F1773A">
      <w:pPr>
        <w:widowControl/>
        <w:shd w:val="clear" w:color="auto" w:fill="FFFFFF"/>
        <w:spacing w:line="520" w:lineRule="exact"/>
        <w:contextualSpacing/>
        <w:jc w:val="left"/>
        <w:rPr>
          <w:rFonts w:ascii="仿宋" w:hAnsi="仿宋" w:eastAsia="仿宋" w:cs="Segoe UI"/>
          <w:b/>
          <w:bCs/>
          <w:sz w:val="32"/>
          <w:szCs w:val="32"/>
        </w:rPr>
      </w:pPr>
      <w:r>
        <w:rPr>
          <w:rFonts w:ascii="仿宋" w:hAnsi="仿宋" w:eastAsia="仿宋" w:cs="Segoe UI"/>
          <w:b/>
          <w:bCs/>
          <w:sz w:val="32"/>
          <w:szCs w:val="32"/>
        </w:rPr>
        <w:t>附件</w:t>
      </w:r>
      <w:r>
        <w:rPr>
          <w:rFonts w:hint="eastAsia" w:ascii="仿宋" w:hAnsi="仿宋" w:eastAsia="仿宋" w:cs="Segoe UI"/>
          <w:b/>
          <w:bCs/>
          <w:sz w:val="32"/>
          <w:szCs w:val="32"/>
        </w:rPr>
        <w:t>四</w:t>
      </w:r>
      <w:r>
        <w:rPr>
          <w:rFonts w:ascii="仿宋" w:hAnsi="仿宋" w:eastAsia="仿宋" w:cs="Segoe UI"/>
          <w:b/>
          <w:bCs/>
          <w:sz w:val="32"/>
          <w:szCs w:val="32"/>
        </w:rPr>
        <w:t>：</w:t>
      </w:r>
    </w:p>
    <w:p w14:paraId="0B77ADF0">
      <w:pPr>
        <w:widowControl/>
        <w:shd w:val="clear" w:color="auto" w:fill="FFFFFF"/>
        <w:spacing w:line="520" w:lineRule="exact"/>
        <w:contextualSpacing/>
        <w:jc w:val="center"/>
        <w:rPr>
          <w:rFonts w:ascii="仿宋" w:hAnsi="仿宋" w:eastAsia="仿宋" w:cs="Segoe UI"/>
          <w:b/>
          <w:bCs/>
          <w:sz w:val="44"/>
          <w:szCs w:val="44"/>
        </w:rPr>
      </w:pPr>
      <w:r>
        <w:rPr>
          <w:rFonts w:ascii="仿宋" w:hAnsi="仿宋" w:eastAsia="仿宋" w:cs="Segoe UI"/>
          <w:b/>
          <w:bCs/>
          <w:sz w:val="44"/>
          <w:szCs w:val="44"/>
        </w:rPr>
        <w:t>符合性审查表</w:t>
      </w:r>
    </w:p>
    <w:p w14:paraId="2C7DE5F4">
      <w:pPr>
        <w:widowControl/>
        <w:shd w:val="clear" w:color="auto" w:fill="FFFFFF"/>
        <w:spacing w:line="520" w:lineRule="exact"/>
        <w:contextualSpacing/>
        <w:jc w:val="left"/>
        <w:rPr>
          <w:rFonts w:ascii="仿宋" w:hAnsi="仿宋" w:eastAsia="仿宋" w:cs="Segoe UI"/>
          <w:color w:val="0F1115"/>
          <w:kern w:val="0"/>
          <w:sz w:val="24"/>
          <w:szCs w:val="24"/>
        </w:rPr>
      </w:pPr>
      <w:r>
        <w:rPr>
          <w:rFonts w:ascii="仿宋" w:hAnsi="仿宋" w:eastAsia="仿宋" w:cs="Segoe UI"/>
          <w:bCs/>
          <w:color w:val="0F1115"/>
          <w:kern w:val="0"/>
          <w:sz w:val="24"/>
          <w:szCs w:val="24"/>
        </w:rPr>
        <w:t>项目名称：</w:t>
      </w:r>
      <w:r>
        <w:rPr>
          <w:rFonts w:ascii="Calibri" w:hAnsi="Calibri" w:eastAsia="仿宋" w:cs="Calibri"/>
          <w:color w:val="0F1115"/>
          <w:kern w:val="0"/>
          <w:sz w:val="24"/>
          <w:szCs w:val="24"/>
        </w:rPr>
        <w:t> </w:t>
      </w:r>
      <w:r>
        <w:rPr>
          <w:rFonts w:ascii="仿宋" w:hAnsi="仿宋" w:eastAsia="仿宋" w:cs="Segoe UI"/>
          <w:color w:val="0F1115"/>
          <w:kern w:val="0"/>
          <w:sz w:val="24"/>
          <w:szCs w:val="24"/>
        </w:rPr>
        <w:t>中央除尘系统维修保养服务项目</w:t>
      </w:r>
      <w:r>
        <w:rPr>
          <w:rFonts w:ascii="仿宋" w:hAnsi="仿宋" w:eastAsia="仿宋" w:cs="Segoe UI"/>
          <w:color w:val="0F1115"/>
          <w:kern w:val="0"/>
          <w:sz w:val="24"/>
          <w:szCs w:val="24"/>
        </w:rPr>
        <w:br w:type="textWrapping"/>
      </w:r>
      <w:r>
        <w:rPr>
          <w:rFonts w:ascii="仿宋" w:hAnsi="仿宋" w:eastAsia="仿宋" w:cs="Segoe UI"/>
          <w:bCs/>
          <w:color w:val="0F1115"/>
          <w:kern w:val="0"/>
          <w:sz w:val="24"/>
          <w:szCs w:val="24"/>
        </w:rPr>
        <w:t>评审原则：</w:t>
      </w:r>
      <w:r>
        <w:rPr>
          <w:rFonts w:ascii="Calibri" w:hAnsi="Calibri" w:eastAsia="仿宋" w:cs="Calibri"/>
          <w:color w:val="0F1115"/>
          <w:kern w:val="0"/>
          <w:sz w:val="24"/>
          <w:szCs w:val="24"/>
        </w:rPr>
        <w:t> </w:t>
      </w:r>
      <w:r>
        <w:rPr>
          <w:rFonts w:ascii="仿宋" w:hAnsi="仿宋" w:eastAsia="仿宋" w:cs="Segoe UI"/>
          <w:color w:val="0F1115"/>
          <w:kern w:val="0"/>
          <w:sz w:val="24"/>
          <w:szCs w:val="24"/>
        </w:rPr>
        <w:t>任一参选人在下述1-5项审查中，有任一项结论为“不符合”，或其响应存在对项目核心需求的实质性负偏离，则其符合性审查总体结论为“不符合”，不得进入综合评分阶段。</w:t>
      </w:r>
    </w:p>
    <w:tbl>
      <w:tblPr>
        <w:tblStyle w:val="2"/>
        <w:tblW w:w="9923" w:type="dxa"/>
        <w:tblInd w:w="-71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15" w:type="dxa"/>
          <w:left w:w="15" w:type="dxa"/>
          <w:bottom w:w="15" w:type="dxa"/>
          <w:right w:w="15" w:type="dxa"/>
        </w:tblCellMar>
      </w:tblPr>
      <w:tblGrid>
        <w:gridCol w:w="709"/>
        <w:gridCol w:w="1560"/>
        <w:gridCol w:w="3543"/>
        <w:gridCol w:w="1843"/>
        <w:gridCol w:w="2268"/>
      </w:tblGrid>
      <w:tr w14:paraId="6A82C34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tblHeader/>
        </w:trPr>
        <w:tc>
          <w:tcPr>
            <w:tcW w:w="709" w:type="dxa"/>
            <w:tcMar>
              <w:top w:w="150" w:type="dxa"/>
              <w:left w:w="0" w:type="dxa"/>
              <w:bottom w:w="150" w:type="dxa"/>
              <w:right w:w="240" w:type="dxa"/>
            </w:tcMar>
            <w:vAlign w:val="center"/>
          </w:tcPr>
          <w:p w14:paraId="74EB9449">
            <w:pPr>
              <w:widowControl/>
              <w:spacing w:line="520" w:lineRule="exact"/>
              <w:contextualSpacing/>
              <w:rPr>
                <w:rFonts w:ascii="仿宋" w:hAnsi="仿宋" w:eastAsia="仿宋" w:cs="宋体"/>
                <w:bCs/>
                <w:kern w:val="0"/>
                <w:szCs w:val="21"/>
              </w:rPr>
            </w:pPr>
            <w:r>
              <w:rPr>
                <w:rFonts w:ascii="仿宋" w:hAnsi="仿宋" w:eastAsia="仿宋" w:cs="宋体"/>
                <w:bCs/>
                <w:kern w:val="0"/>
                <w:szCs w:val="21"/>
              </w:rPr>
              <w:t>序号</w:t>
            </w:r>
          </w:p>
        </w:tc>
        <w:tc>
          <w:tcPr>
            <w:tcW w:w="1560" w:type="dxa"/>
            <w:tcMar>
              <w:top w:w="150" w:type="dxa"/>
              <w:left w:w="240" w:type="dxa"/>
              <w:bottom w:w="150" w:type="dxa"/>
              <w:right w:w="240" w:type="dxa"/>
            </w:tcMar>
            <w:vAlign w:val="center"/>
          </w:tcPr>
          <w:p w14:paraId="0CA49BC6">
            <w:pPr>
              <w:widowControl/>
              <w:spacing w:line="520" w:lineRule="exact"/>
              <w:contextualSpacing/>
              <w:jc w:val="left"/>
              <w:rPr>
                <w:rFonts w:ascii="仿宋" w:hAnsi="仿宋" w:eastAsia="仿宋" w:cs="宋体"/>
                <w:bCs/>
                <w:kern w:val="0"/>
                <w:szCs w:val="21"/>
              </w:rPr>
            </w:pPr>
            <w:r>
              <w:rPr>
                <w:rFonts w:ascii="仿宋" w:hAnsi="仿宋" w:eastAsia="仿宋" w:cs="宋体"/>
                <w:bCs/>
                <w:kern w:val="0"/>
                <w:szCs w:val="21"/>
              </w:rPr>
              <w:t>审查项目</w:t>
            </w:r>
          </w:p>
        </w:tc>
        <w:tc>
          <w:tcPr>
            <w:tcW w:w="3543" w:type="dxa"/>
            <w:tcMar>
              <w:top w:w="150" w:type="dxa"/>
              <w:left w:w="240" w:type="dxa"/>
              <w:bottom w:w="150" w:type="dxa"/>
              <w:right w:w="240" w:type="dxa"/>
            </w:tcMar>
            <w:vAlign w:val="center"/>
          </w:tcPr>
          <w:p w14:paraId="21F8BA19">
            <w:pPr>
              <w:widowControl/>
              <w:spacing w:line="520" w:lineRule="exact"/>
              <w:contextualSpacing/>
              <w:jc w:val="left"/>
              <w:rPr>
                <w:rFonts w:ascii="仿宋" w:hAnsi="仿宋" w:eastAsia="仿宋" w:cs="宋体"/>
                <w:bCs/>
                <w:kern w:val="0"/>
                <w:szCs w:val="21"/>
              </w:rPr>
            </w:pPr>
            <w:r>
              <w:rPr>
                <w:rFonts w:ascii="仿宋" w:hAnsi="仿宋" w:eastAsia="仿宋" w:cs="宋体"/>
                <w:bCs/>
                <w:kern w:val="0"/>
                <w:szCs w:val="21"/>
              </w:rPr>
              <w:t>审查标准与审查要点</w:t>
            </w:r>
          </w:p>
        </w:tc>
        <w:tc>
          <w:tcPr>
            <w:tcW w:w="1843" w:type="dxa"/>
            <w:tcMar>
              <w:top w:w="150" w:type="dxa"/>
              <w:left w:w="240" w:type="dxa"/>
              <w:bottom w:w="150" w:type="dxa"/>
              <w:right w:w="240" w:type="dxa"/>
            </w:tcMar>
            <w:vAlign w:val="center"/>
          </w:tcPr>
          <w:p w14:paraId="5E080947">
            <w:pPr>
              <w:widowControl/>
              <w:spacing w:line="520" w:lineRule="exact"/>
              <w:contextualSpacing/>
              <w:jc w:val="left"/>
              <w:rPr>
                <w:rFonts w:ascii="仿宋" w:hAnsi="仿宋" w:eastAsia="仿宋" w:cs="宋体"/>
                <w:bCs/>
                <w:kern w:val="0"/>
                <w:szCs w:val="21"/>
              </w:rPr>
            </w:pPr>
            <w:r>
              <w:rPr>
                <w:rFonts w:ascii="仿宋" w:hAnsi="仿宋" w:eastAsia="仿宋" w:cs="宋体"/>
                <w:bCs/>
                <w:kern w:val="0"/>
                <w:szCs w:val="21"/>
              </w:rPr>
              <w:t>审查结论（符合/不符合）</w:t>
            </w:r>
          </w:p>
        </w:tc>
        <w:tc>
          <w:tcPr>
            <w:tcW w:w="2268" w:type="dxa"/>
            <w:tcMar>
              <w:top w:w="150" w:type="dxa"/>
              <w:left w:w="240" w:type="dxa"/>
              <w:bottom w:w="150" w:type="dxa"/>
              <w:right w:w="240" w:type="dxa"/>
            </w:tcMar>
            <w:vAlign w:val="center"/>
          </w:tcPr>
          <w:p w14:paraId="7558CB78">
            <w:pPr>
              <w:widowControl/>
              <w:spacing w:line="520" w:lineRule="exact"/>
              <w:contextualSpacing/>
              <w:jc w:val="left"/>
              <w:rPr>
                <w:rFonts w:ascii="仿宋" w:hAnsi="仿宋" w:eastAsia="仿宋" w:cs="宋体"/>
                <w:bCs/>
                <w:kern w:val="0"/>
                <w:szCs w:val="21"/>
              </w:rPr>
            </w:pPr>
            <w:r>
              <w:rPr>
                <w:rFonts w:ascii="仿宋" w:hAnsi="仿宋" w:eastAsia="仿宋" w:cs="宋体"/>
                <w:bCs/>
                <w:kern w:val="0"/>
                <w:szCs w:val="21"/>
              </w:rPr>
              <w:t>备注</w:t>
            </w:r>
          </w:p>
        </w:tc>
      </w:tr>
      <w:tr w14:paraId="3DF3F40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709" w:type="dxa"/>
            <w:tcMar>
              <w:top w:w="150" w:type="dxa"/>
              <w:left w:w="0" w:type="dxa"/>
              <w:bottom w:w="150" w:type="dxa"/>
              <w:right w:w="240" w:type="dxa"/>
            </w:tcMar>
            <w:vAlign w:val="center"/>
          </w:tcPr>
          <w:p w14:paraId="3589C72B">
            <w:pPr>
              <w:widowControl/>
              <w:spacing w:line="520" w:lineRule="exact"/>
              <w:contextualSpacing/>
              <w:jc w:val="left"/>
              <w:rPr>
                <w:rFonts w:ascii="仿宋" w:hAnsi="仿宋" w:eastAsia="仿宋" w:cs="宋体"/>
                <w:kern w:val="0"/>
                <w:szCs w:val="21"/>
              </w:rPr>
            </w:pPr>
            <w:r>
              <w:rPr>
                <w:rFonts w:ascii="仿宋" w:hAnsi="仿宋" w:eastAsia="仿宋" w:cs="宋体"/>
                <w:bCs/>
                <w:kern w:val="0"/>
                <w:szCs w:val="21"/>
              </w:rPr>
              <w:t>1</w:t>
            </w:r>
          </w:p>
        </w:tc>
        <w:tc>
          <w:tcPr>
            <w:tcW w:w="1560" w:type="dxa"/>
            <w:tcMar>
              <w:top w:w="150" w:type="dxa"/>
              <w:left w:w="240" w:type="dxa"/>
              <w:bottom w:w="150" w:type="dxa"/>
              <w:right w:w="240" w:type="dxa"/>
            </w:tcMar>
            <w:vAlign w:val="center"/>
          </w:tcPr>
          <w:p w14:paraId="01AA90B2">
            <w:pPr>
              <w:widowControl/>
              <w:spacing w:line="520" w:lineRule="exact"/>
              <w:contextualSpacing/>
              <w:jc w:val="left"/>
              <w:rPr>
                <w:rFonts w:ascii="仿宋" w:hAnsi="仿宋" w:eastAsia="仿宋" w:cs="宋体"/>
                <w:kern w:val="0"/>
                <w:szCs w:val="21"/>
              </w:rPr>
            </w:pPr>
            <w:r>
              <w:rPr>
                <w:rFonts w:ascii="仿宋" w:hAnsi="仿宋" w:eastAsia="仿宋" w:cs="宋体"/>
                <w:bCs/>
                <w:kern w:val="0"/>
                <w:szCs w:val="21"/>
              </w:rPr>
              <w:t>报价要求</w:t>
            </w:r>
          </w:p>
        </w:tc>
        <w:tc>
          <w:tcPr>
            <w:tcW w:w="3543" w:type="dxa"/>
            <w:tcMar>
              <w:top w:w="150" w:type="dxa"/>
              <w:left w:w="240" w:type="dxa"/>
              <w:bottom w:w="150" w:type="dxa"/>
              <w:right w:w="240" w:type="dxa"/>
            </w:tcMar>
            <w:vAlign w:val="center"/>
          </w:tcPr>
          <w:p w14:paraId="077DA880">
            <w:pPr>
              <w:widowControl/>
              <w:spacing w:line="520" w:lineRule="exact"/>
              <w:contextualSpacing/>
              <w:jc w:val="left"/>
              <w:rPr>
                <w:rFonts w:ascii="仿宋" w:hAnsi="仿宋" w:eastAsia="仿宋" w:cs="宋体"/>
                <w:kern w:val="0"/>
                <w:szCs w:val="21"/>
              </w:rPr>
            </w:pPr>
            <w:r>
              <w:rPr>
                <w:rFonts w:ascii="仿宋" w:hAnsi="仿宋" w:eastAsia="仿宋" w:cs="宋体"/>
                <w:bCs/>
                <w:kern w:val="0"/>
                <w:szCs w:val="21"/>
              </w:rPr>
              <w:t>审查标准：</w:t>
            </w:r>
            <w:r>
              <w:rPr>
                <w:rFonts w:ascii="Calibri" w:hAnsi="Calibri" w:eastAsia="仿宋" w:cs="Calibri"/>
                <w:kern w:val="0"/>
                <w:szCs w:val="21"/>
              </w:rPr>
              <w:t> </w:t>
            </w:r>
            <w:r>
              <w:rPr>
                <w:rFonts w:ascii="仿宋" w:hAnsi="仿宋" w:eastAsia="仿宋" w:cs="宋体"/>
                <w:kern w:val="0"/>
                <w:szCs w:val="21"/>
              </w:rPr>
              <w:t>是否按“总价包干”方式进行整体报价，且只报一个不超过最高限价的总价。</w:t>
            </w:r>
            <w:r>
              <w:rPr>
                <w:rFonts w:ascii="仿宋" w:hAnsi="仿宋" w:eastAsia="仿宋" w:cs="宋体"/>
                <w:kern w:val="0"/>
                <w:szCs w:val="21"/>
              </w:rPr>
              <w:br w:type="textWrapping"/>
            </w:r>
            <w:r>
              <w:rPr>
                <w:rFonts w:ascii="仿宋" w:hAnsi="仿宋" w:eastAsia="仿宋" w:cs="宋体"/>
                <w:bCs/>
                <w:kern w:val="0"/>
                <w:szCs w:val="21"/>
              </w:rPr>
              <w:t>审查要点：</w:t>
            </w:r>
            <w:r>
              <w:rPr>
                <w:rFonts w:ascii="仿宋" w:hAnsi="仿宋" w:eastAsia="仿宋" w:cs="宋体"/>
                <w:kern w:val="0"/>
                <w:szCs w:val="21"/>
              </w:rPr>
              <w:br w:type="textWrapping"/>
            </w:r>
            <w:r>
              <w:rPr>
                <w:rFonts w:ascii="仿宋" w:hAnsi="仿宋" w:eastAsia="仿宋" w:cs="宋体"/>
                <w:kern w:val="0"/>
                <w:szCs w:val="21"/>
              </w:rPr>
              <w:t>1. 报价函或应答一览表中的报价是否为唯一、确定的总价。</w:t>
            </w:r>
            <w:r>
              <w:rPr>
                <w:rFonts w:ascii="仿宋" w:hAnsi="仿宋" w:eastAsia="仿宋" w:cs="宋体"/>
                <w:kern w:val="0"/>
                <w:szCs w:val="21"/>
              </w:rPr>
              <w:br w:type="textWrapping"/>
            </w:r>
            <w:r>
              <w:rPr>
                <w:rFonts w:ascii="仿宋" w:hAnsi="仿宋" w:eastAsia="仿宋" w:cs="宋体"/>
                <w:kern w:val="0"/>
                <w:szCs w:val="21"/>
              </w:rPr>
              <w:t>2. 该总价是否明确为“总价包干”或“包干价”。</w:t>
            </w:r>
            <w:r>
              <w:rPr>
                <w:rFonts w:ascii="仿宋" w:hAnsi="仿宋" w:eastAsia="仿宋" w:cs="宋体"/>
                <w:kern w:val="0"/>
                <w:szCs w:val="21"/>
              </w:rPr>
              <w:br w:type="textWrapping"/>
            </w:r>
            <w:r>
              <w:rPr>
                <w:rFonts w:ascii="仿宋" w:hAnsi="仿宋" w:eastAsia="仿宋" w:cs="宋体"/>
                <w:kern w:val="0"/>
                <w:szCs w:val="21"/>
              </w:rPr>
              <w:t>3. 该总价是否未超过人民币15万元的最高限价。</w:t>
            </w:r>
          </w:p>
        </w:tc>
        <w:tc>
          <w:tcPr>
            <w:tcW w:w="1843" w:type="dxa"/>
            <w:tcMar>
              <w:top w:w="150" w:type="dxa"/>
              <w:left w:w="240" w:type="dxa"/>
              <w:bottom w:w="150" w:type="dxa"/>
              <w:right w:w="240" w:type="dxa"/>
            </w:tcMar>
            <w:vAlign w:val="center"/>
          </w:tcPr>
          <w:p w14:paraId="7AB5F3F1">
            <w:pPr>
              <w:widowControl/>
              <w:spacing w:line="520" w:lineRule="exact"/>
              <w:contextualSpacing/>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符合</w:t>
            </w:r>
            <w:r>
              <w:rPr>
                <w:rFonts w:ascii="仿宋" w:hAnsi="仿宋" w:eastAsia="仿宋" w:cs="宋体"/>
                <w:kern w:val="0"/>
                <w:szCs w:val="21"/>
              </w:rPr>
              <w:br w:type="textWrapping"/>
            </w:r>
            <w:r>
              <w:rPr>
                <w:rFonts w:ascii="Segoe UI Symbol" w:hAnsi="Segoe UI Symbol" w:eastAsia="仿宋" w:cs="Segoe UI Symbol"/>
                <w:kern w:val="0"/>
                <w:szCs w:val="21"/>
              </w:rPr>
              <w:t>☐</w:t>
            </w:r>
            <w:r>
              <w:rPr>
                <w:rFonts w:ascii="仿宋" w:hAnsi="仿宋" w:eastAsia="仿宋" w:cs="宋体"/>
                <w:kern w:val="0"/>
                <w:szCs w:val="21"/>
              </w:rPr>
              <w:t xml:space="preserve"> 不符合</w:t>
            </w:r>
          </w:p>
        </w:tc>
        <w:tc>
          <w:tcPr>
            <w:tcW w:w="2268" w:type="dxa"/>
            <w:tcMar>
              <w:top w:w="150" w:type="dxa"/>
              <w:left w:w="240" w:type="dxa"/>
              <w:bottom w:w="150" w:type="dxa"/>
              <w:right w:w="0" w:type="dxa"/>
            </w:tcMar>
            <w:vAlign w:val="center"/>
          </w:tcPr>
          <w:p w14:paraId="315C5349">
            <w:pPr>
              <w:widowControl/>
              <w:spacing w:line="520" w:lineRule="exact"/>
              <w:contextualSpacing/>
              <w:jc w:val="left"/>
              <w:rPr>
                <w:rFonts w:ascii="仿宋" w:hAnsi="仿宋" w:eastAsia="仿宋" w:cs="宋体"/>
                <w:kern w:val="0"/>
                <w:szCs w:val="21"/>
              </w:rPr>
            </w:pPr>
            <w:r>
              <w:rPr>
                <w:rFonts w:ascii="仿宋" w:hAnsi="仿宋" w:eastAsia="仿宋" w:cs="宋体"/>
                <w:kern w:val="0"/>
                <w:szCs w:val="21"/>
              </w:rPr>
              <w:t>若报价为分项报价汇总，但明确总价包干且未超限价，可视为符合。报价超过最高限价为不符合。</w:t>
            </w:r>
          </w:p>
        </w:tc>
      </w:tr>
      <w:tr w14:paraId="70775FC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709" w:type="dxa"/>
            <w:tcMar>
              <w:top w:w="150" w:type="dxa"/>
              <w:left w:w="0" w:type="dxa"/>
              <w:bottom w:w="150" w:type="dxa"/>
              <w:right w:w="240" w:type="dxa"/>
            </w:tcMar>
            <w:vAlign w:val="center"/>
          </w:tcPr>
          <w:p w14:paraId="52E6A370">
            <w:pPr>
              <w:widowControl/>
              <w:spacing w:line="520" w:lineRule="exact"/>
              <w:contextualSpacing/>
              <w:jc w:val="left"/>
              <w:rPr>
                <w:rFonts w:ascii="仿宋" w:hAnsi="仿宋" w:eastAsia="仿宋" w:cs="宋体"/>
                <w:kern w:val="0"/>
                <w:szCs w:val="21"/>
              </w:rPr>
            </w:pPr>
            <w:r>
              <w:rPr>
                <w:rFonts w:ascii="仿宋" w:hAnsi="仿宋" w:eastAsia="仿宋" w:cs="宋体"/>
                <w:bCs/>
                <w:kern w:val="0"/>
                <w:szCs w:val="21"/>
              </w:rPr>
              <w:t>2</w:t>
            </w:r>
          </w:p>
        </w:tc>
        <w:tc>
          <w:tcPr>
            <w:tcW w:w="1560" w:type="dxa"/>
            <w:tcMar>
              <w:top w:w="150" w:type="dxa"/>
              <w:left w:w="240" w:type="dxa"/>
              <w:bottom w:w="150" w:type="dxa"/>
              <w:right w:w="240" w:type="dxa"/>
            </w:tcMar>
            <w:vAlign w:val="center"/>
          </w:tcPr>
          <w:p w14:paraId="7518DE2B">
            <w:pPr>
              <w:widowControl/>
              <w:spacing w:line="520" w:lineRule="exact"/>
              <w:contextualSpacing/>
              <w:jc w:val="left"/>
              <w:rPr>
                <w:rFonts w:ascii="仿宋" w:hAnsi="仿宋" w:eastAsia="仿宋" w:cs="宋体"/>
                <w:kern w:val="0"/>
                <w:szCs w:val="21"/>
              </w:rPr>
            </w:pPr>
            <w:r>
              <w:rPr>
                <w:rFonts w:ascii="仿宋" w:hAnsi="仿宋" w:eastAsia="仿宋" w:cs="宋体"/>
                <w:bCs/>
                <w:kern w:val="0"/>
                <w:szCs w:val="21"/>
              </w:rPr>
              <w:t>文件格式</w:t>
            </w:r>
          </w:p>
        </w:tc>
        <w:tc>
          <w:tcPr>
            <w:tcW w:w="3543" w:type="dxa"/>
            <w:tcMar>
              <w:top w:w="150" w:type="dxa"/>
              <w:left w:w="240" w:type="dxa"/>
              <w:bottom w:w="150" w:type="dxa"/>
              <w:right w:w="240" w:type="dxa"/>
            </w:tcMar>
            <w:vAlign w:val="center"/>
          </w:tcPr>
          <w:p w14:paraId="561019B2">
            <w:pPr>
              <w:widowControl/>
              <w:spacing w:line="520" w:lineRule="exact"/>
              <w:contextualSpacing/>
              <w:jc w:val="left"/>
              <w:rPr>
                <w:rFonts w:ascii="仿宋" w:hAnsi="仿宋" w:eastAsia="仿宋" w:cs="宋体"/>
                <w:kern w:val="0"/>
                <w:szCs w:val="21"/>
              </w:rPr>
            </w:pPr>
            <w:r>
              <w:rPr>
                <w:rFonts w:ascii="仿宋" w:hAnsi="仿宋" w:eastAsia="仿宋" w:cs="宋体"/>
                <w:bCs/>
                <w:kern w:val="0"/>
                <w:szCs w:val="21"/>
              </w:rPr>
              <w:t>审查标准：</w:t>
            </w:r>
            <w:r>
              <w:rPr>
                <w:rFonts w:ascii="Calibri" w:hAnsi="Calibri" w:eastAsia="仿宋" w:cs="Calibri"/>
                <w:kern w:val="0"/>
                <w:szCs w:val="21"/>
              </w:rPr>
              <w:t> </w:t>
            </w:r>
            <w:r>
              <w:rPr>
                <w:rFonts w:ascii="仿宋" w:hAnsi="仿宋" w:eastAsia="仿宋" w:cs="宋体"/>
                <w:kern w:val="0"/>
                <w:szCs w:val="21"/>
              </w:rPr>
              <w:t>参选文件的编制、装订及签署盖章是否符合比选文件要求。</w:t>
            </w:r>
            <w:r>
              <w:rPr>
                <w:rFonts w:ascii="仿宋" w:hAnsi="仿宋" w:eastAsia="仿宋" w:cs="宋体"/>
                <w:kern w:val="0"/>
                <w:szCs w:val="21"/>
              </w:rPr>
              <w:br w:type="textWrapping"/>
            </w:r>
            <w:r>
              <w:rPr>
                <w:rFonts w:ascii="仿宋" w:hAnsi="仿宋" w:eastAsia="仿宋" w:cs="宋体"/>
                <w:bCs/>
                <w:kern w:val="0"/>
                <w:szCs w:val="21"/>
              </w:rPr>
              <w:t>审查要点：</w:t>
            </w:r>
            <w:r>
              <w:rPr>
                <w:rFonts w:ascii="仿宋" w:hAnsi="仿宋" w:eastAsia="仿宋" w:cs="宋体"/>
                <w:kern w:val="0"/>
                <w:szCs w:val="21"/>
              </w:rPr>
              <w:br w:type="textWrapping"/>
            </w:r>
            <w:r>
              <w:rPr>
                <w:rFonts w:ascii="仿宋" w:hAnsi="仿宋" w:eastAsia="仿宋" w:cs="宋体"/>
                <w:kern w:val="0"/>
                <w:szCs w:val="21"/>
              </w:rPr>
              <w:t>1. 是否编制目录及页码。</w:t>
            </w:r>
            <w:r>
              <w:rPr>
                <w:rFonts w:ascii="仿宋" w:hAnsi="仿宋" w:eastAsia="仿宋" w:cs="宋体"/>
                <w:kern w:val="0"/>
                <w:szCs w:val="21"/>
              </w:rPr>
              <w:br w:type="textWrapping"/>
            </w:r>
            <w:r>
              <w:rPr>
                <w:rFonts w:ascii="仿宋" w:hAnsi="仿宋" w:eastAsia="仿宋" w:cs="宋体"/>
                <w:kern w:val="0"/>
                <w:szCs w:val="21"/>
              </w:rPr>
              <w:t>2. 是否牢固装订成册（如胶装）。</w:t>
            </w:r>
            <w:r>
              <w:rPr>
                <w:rFonts w:ascii="仿宋" w:hAnsi="仿宋" w:eastAsia="仿宋" w:cs="宋体"/>
                <w:kern w:val="0"/>
                <w:szCs w:val="21"/>
              </w:rPr>
              <w:br w:type="textWrapping"/>
            </w:r>
            <w:r>
              <w:rPr>
                <w:rFonts w:ascii="仿宋" w:hAnsi="仿宋" w:eastAsia="仿宋" w:cs="宋体"/>
                <w:kern w:val="0"/>
                <w:szCs w:val="21"/>
              </w:rPr>
              <w:t>3. 关键页（包括但不限于资格证明、报价函、承诺函、授权委托书等）及有修改处需签字盖章是否均由法定代表人或授权代表签字并加盖单位公章。</w:t>
            </w:r>
            <w:r>
              <w:rPr>
                <w:rFonts w:ascii="仿宋" w:hAnsi="仿宋" w:eastAsia="仿宋" w:cs="宋体"/>
                <w:kern w:val="0"/>
                <w:szCs w:val="21"/>
              </w:rPr>
              <w:br w:type="textWrapping"/>
            </w:r>
            <w:r>
              <w:rPr>
                <w:rFonts w:ascii="仿宋" w:hAnsi="仿宋" w:eastAsia="仿宋" w:cs="宋体"/>
                <w:kern w:val="0"/>
                <w:szCs w:val="21"/>
              </w:rPr>
              <w:t>4. 整本文件侧边是否加盖骑缝章。</w:t>
            </w:r>
          </w:p>
        </w:tc>
        <w:tc>
          <w:tcPr>
            <w:tcW w:w="1843" w:type="dxa"/>
            <w:tcMar>
              <w:top w:w="150" w:type="dxa"/>
              <w:left w:w="240" w:type="dxa"/>
              <w:bottom w:w="150" w:type="dxa"/>
              <w:right w:w="240" w:type="dxa"/>
            </w:tcMar>
            <w:vAlign w:val="center"/>
          </w:tcPr>
          <w:p w14:paraId="42B6A817">
            <w:pPr>
              <w:widowControl/>
              <w:spacing w:line="520" w:lineRule="exact"/>
              <w:contextualSpacing/>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符合</w:t>
            </w:r>
            <w:r>
              <w:rPr>
                <w:rFonts w:ascii="仿宋" w:hAnsi="仿宋" w:eastAsia="仿宋" w:cs="宋体"/>
                <w:kern w:val="0"/>
                <w:szCs w:val="21"/>
              </w:rPr>
              <w:br w:type="textWrapping"/>
            </w:r>
            <w:r>
              <w:rPr>
                <w:rFonts w:ascii="Segoe UI Symbol" w:hAnsi="Segoe UI Symbol" w:eastAsia="仿宋" w:cs="Segoe UI Symbol"/>
                <w:kern w:val="0"/>
                <w:szCs w:val="21"/>
              </w:rPr>
              <w:t>☐</w:t>
            </w:r>
            <w:r>
              <w:rPr>
                <w:rFonts w:ascii="仿宋" w:hAnsi="仿宋" w:eastAsia="仿宋" w:cs="宋体"/>
                <w:kern w:val="0"/>
                <w:szCs w:val="21"/>
              </w:rPr>
              <w:t xml:space="preserve"> 不符合</w:t>
            </w:r>
          </w:p>
        </w:tc>
        <w:tc>
          <w:tcPr>
            <w:tcW w:w="2268" w:type="dxa"/>
            <w:tcMar>
              <w:top w:w="150" w:type="dxa"/>
              <w:left w:w="240" w:type="dxa"/>
              <w:bottom w:w="150" w:type="dxa"/>
              <w:right w:w="0" w:type="dxa"/>
            </w:tcMar>
            <w:vAlign w:val="center"/>
          </w:tcPr>
          <w:p w14:paraId="745B5FCE">
            <w:pPr>
              <w:widowControl/>
              <w:spacing w:line="520" w:lineRule="exact"/>
              <w:contextualSpacing/>
              <w:jc w:val="left"/>
              <w:rPr>
                <w:rFonts w:ascii="仿宋" w:hAnsi="仿宋" w:eastAsia="仿宋" w:cs="宋体"/>
                <w:kern w:val="0"/>
                <w:szCs w:val="21"/>
              </w:rPr>
            </w:pPr>
            <w:r>
              <w:rPr>
                <w:rFonts w:ascii="仿宋" w:hAnsi="仿宋" w:eastAsia="仿宋" w:cs="宋体"/>
                <w:kern w:val="0"/>
                <w:szCs w:val="21"/>
              </w:rPr>
              <w:t>轻微瑕疵（如非关键页漏签章）可要求澄清，若影响文件法律效力或严重不符合格式要求，可判定为不符合。</w:t>
            </w:r>
          </w:p>
        </w:tc>
      </w:tr>
      <w:tr w14:paraId="70EE50D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709" w:type="dxa"/>
            <w:tcMar>
              <w:top w:w="150" w:type="dxa"/>
              <w:left w:w="0" w:type="dxa"/>
              <w:bottom w:w="150" w:type="dxa"/>
              <w:right w:w="240" w:type="dxa"/>
            </w:tcMar>
            <w:vAlign w:val="center"/>
          </w:tcPr>
          <w:p w14:paraId="2EA2AF43">
            <w:pPr>
              <w:widowControl/>
              <w:spacing w:line="520" w:lineRule="exact"/>
              <w:contextualSpacing/>
              <w:jc w:val="left"/>
              <w:rPr>
                <w:rFonts w:ascii="仿宋" w:hAnsi="仿宋" w:eastAsia="仿宋" w:cs="宋体"/>
                <w:kern w:val="0"/>
                <w:szCs w:val="21"/>
              </w:rPr>
            </w:pPr>
            <w:r>
              <w:rPr>
                <w:rFonts w:ascii="仿宋" w:hAnsi="仿宋" w:eastAsia="仿宋" w:cs="宋体"/>
                <w:bCs/>
                <w:kern w:val="0"/>
                <w:szCs w:val="21"/>
              </w:rPr>
              <w:t>3</w:t>
            </w:r>
          </w:p>
        </w:tc>
        <w:tc>
          <w:tcPr>
            <w:tcW w:w="1560" w:type="dxa"/>
            <w:tcMar>
              <w:top w:w="150" w:type="dxa"/>
              <w:left w:w="240" w:type="dxa"/>
              <w:bottom w:w="150" w:type="dxa"/>
              <w:right w:w="240" w:type="dxa"/>
            </w:tcMar>
            <w:vAlign w:val="center"/>
          </w:tcPr>
          <w:p w14:paraId="322A5FF4">
            <w:pPr>
              <w:widowControl/>
              <w:spacing w:line="520" w:lineRule="exact"/>
              <w:contextualSpacing/>
              <w:jc w:val="left"/>
              <w:rPr>
                <w:rFonts w:ascii="仿宋" w:hAnsi="仿宋" w:eastAsia="仿宋" w:cs="宋体"/>
                <w:kern w:val="0"/>
                <w:szCs w:val="21"/>
              </w:rPr>
            </w:pPr>
            <w:r>
              <w:rPr>
                <w:rFonts w:ascii="仿宋" w:hAnsi="仿宋" w:eastAsia="仿宋" w:cs="宋体"/>
                <w:bCs/>
                <w:kern w:val="0"/>
                <w:szCs w:val="21"/>
              </w:rPr>
              <w:t>报价表填写</w:t>
            </w:r>
          </w:p>
        </w:tc>
        <w:tc>
          <w:tcPr>
            <w:tcW w:w="3543" w:type="dxa"/>
            <w:tcMar>
              <w:top w:w="150" w:type="dxa"/>
              <w:left w:w="240" w:type="dxa"/>
              <w:bottom w:w="150" w:type="dxa"/>
              <w:right w:w="240" w:type="dxa"/>
            </w:tcMar>
            <w:vAlign w:val="center"/>
          </w:tcPr>
          <w:p w14:paraId="1EAFD97A">
            <w:pPr>
              <w:widowControl/>
              <w:spacing w:line="520" w:lineRule="exact"/>
              <w:contextualSpacing/>
              <w:jc w:val="left"/>
              <w:rPr>
                <w:rFonts w:ascii="仿宋" w:hAnsi="仿宋" w:eastAsia="仿宋" w:cs="宋体"/>
                <w:kern w:val="0"/>
                <w:szCs w:val="21"/>
              </w:rPr>
            </w:pPr>
            <w:r>
              <w:rPr>
                <w:rFonts w:ascii="仿宋" w:hAnsi="仿宋" w:eastAsia="仿宋" w:cs="宋体"/>
                <w:bCs/>
                <w:kern w:val="0"/>
                <w:szCs w:val="21"/>
              </w:rPr>
              <w:t>审查标准：</w:t>
            </w:r>
            <w:r>
              <w:rPr>
                <w:rFonts w:ascii="Calibri" w:hAnsi="Calibri" w:eastAsia="仿宋" w:cs="Calibri"/>
                <w:kern w:val="0"/>
                <w:szCs w:val="21"/>
              </w:rPr>
              <w:t> </w:t>
            </w:r>
            <w:r>
              <w:rPr>
                <w:rFonts w:ascii="仿宋" w:hAnsi="仿宋" w:eastAsia="仿宋" w:cs="宋体"/>
                <w:kern w:val="0"/>
                <w:szCs w:val="21"/>
              </w:rPr>
              <w:t>是否按规定的报价表格式填写，内容完整、清晰、无矛盾。</w:t>
            </w:r>
            <w:r>
              <w:rPr>
                <w:rFonts w:ascii="仿宋" w:hAnsi="仿宋" w:eastAsia="仿宋" w:cs="宋体"/>
                <w:kern w:val="0"/>
                <w:szCs w:val="21"/>
              </w:rPr>
              <w:br w:type="textWrapping"/>
            </w:r>
            <w:r>
              <w:rPr>
                <w:rFonts w:ascii="仿宋" w:hAnsi="仿宋" w:eastAsia="仿宋" w:cs="宋体"/>
                <w:bCs/>
                <w:kern w:val="0"/>
                <w:szCs w:val="21"/>
              </w:rPr>
              <w:t>审查要点：</w:t>
            </w:r>
            <w:r>
              <w:rPr>
                <w:rFonts w:ascii="仿宋" w:hAnsi="仿宋" w:eastAsia="仿宋" w:cs="宋体"/>
                <w:kern w:val="0"/>
                <w:szCs w:val="21"/>
              </w:rPr>
              <w:br w:type="textWrapping"/>
            </w:r>
            <w:r>
              <w:rPr>
                <w:rFonts w:ascii="仿宋" w:hAnsi="仿宋" w:eastAsia="仿宋" w:cs="宋体"/>
                <w:kern w:val="0"/>
                <w:szCs w:val="21"/>
              </w:rPr>
              <w:t>1. 是否使用了比选文件提供的报价表格式或其认可的等效格式。</w:t>
            </w:r>
            <w:r>
              <w:rPr>
                <w:rFonts w:ascii="仿宋" w:hAnsi="仿宋" w:eastAsia="仿宋" w:cs="宋体"/>
                <w:kern w:val="0"/>
                <w:szCs w:val="21"/>
              </w:rPr>
              <w:br w:type="textWrapping"/>
            </w:r>
            <w:r>
              <w:rPr>
                <w:rFonts w:ascii="仿宋" w:hAnsi="仿宋" w:eastAsia="仿宋" w:cs="宋体"/>
                <w:kern w:val="0"/>
                <w:szCs w:val="21"/>
              </w:rPr>
              <w:t>2. 服务名称、单价、数量、总价、汇总金额等栏目是否填写完整、清晰。</w:t>
            </w:r>
            <w:r>
              <w:rPr>
                <w:rFonts w:ascii="仿宋" w:hAnsi="仿宋" w:eastAsia="仿宋" w:cs="宋体"/>
                <w:kern w:val="0"/>
                <w:szCs w:val="21"/>
              </w:rPr>
              <w:br w:type="textWrapping"/>
            </w:r>
            <w:r>
              <w:rPr>
                <w:rFonts w:ascii="仿宋" w:hAnsi="仿宋" w:eastAsia="仿宋" w:cs="宋体"/>
                <w:kern w:val="0"/>
                <w:szCs w:val="21"/>
              </w:rPr>
              <w:t>3. 分项报价汇总是否与总价一致。</w:t>
            </w:r>
          </w:p>
        </w:tc>
        <w:tc>
          <w:tcPr>
            <w:tcW w:w="1843" w:type="dxa"/>
            <w:tcMar>
              <w:top w:w="150" w:type="dxa"/>
              <w:left w:w="240" w:type="dxa"/>
              <w:bottom w:w="150" w:type="dxa"/>
              <w:right w:w="240" w:type="dxa"/>
            </w:tcMar>
            <w:vAlign w:val="center"/>
          </w:tcPr>
          <w:p w14:paraId="5B36DBE2">
            <w:pPr>
              <w:widowControl/>
              <w:spacing w:line="520" w:lineRule="exact"/>
              <w:contextualSpacing/>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符合</w:t>
            </w:r>
            <w:r>
              <w:rPr>
                <w:rFonts w:ascii="仿宋" w:hAnsi="仿宋" w:eastAsia="仿宋" w:cs="宋体"/>
                <w:kern w:val="0"/>
                <w:szCs w:val="21"/>
              </w:rPr>
              <w:br w:type="textWrapping"/>
            </w:r>
            <w:r>
              <w:rPr>
                <w:rFonts w:ascii="Segoe UI Symbol" w:hAnsi="Segoe UI Symbol" w:eastAsia="仿宋" w:cs="Segoe UI Symbol"/>
                <w:kern w:val="0"/>
                <w:szCs w:val="21"/>
              </w:rPr>
              <w:t>☐</w:t>
            </w:r>
            <w:r>
              <w:rPr>
                <w:rFonts w:ascii="仿宋" w:hAnsi="仿宋" w:eastAsia="仿宋" w:cs="宋体"/>
                <w:kern w:val="0"/>
                <w:szCs w:val="21"/>
              </w:rPr>
              <w:t xml:space="preserve"> 不符合</w:t>
            </w:r>
          </w:p>
        </w:tc>
        <w:tc>
          <w:tcPr>
            <w:tcW w:w="2268" w:type="dxa"/>
            <w:tcMar>
              <w:top w:w="150" w:type="dxa"/>
              <w:left w:w="240" w:type="dxa"/>
              <w:bottom w:w="150" w:type="dxa"/>
              <w:right w:w="0" w:type="dxa"/>
            </w:tcMar>
            <w:vAlign w:val="center"/>
          </w:tcPr>
          <w:p w14:paraId="629E60A4">
            <w:pPr>
              <w:widowControl/>
              <w:spacing w:line="520" w:lineRule="exact"/>
              <w:contextualSpacing/>
              <w:jc w:val="left"/>
              <w:rPr>
                <w:rFonts w:ascii="仿宋" w:hAnsi="仿宋" w:eastAsia="仿宋" w:cs="宋体"/>
                <w:kern w:val="0"/>
                <w:szCs w:val="21"/>
              </w:rPr>
            </w:pPr>
            <w:r>
              <w:rPr>
                <w:rFonts w:ascii="仿宋" w:hAnsi="仿宋" w:eastAsia="仿宋" w:cs="宋体"/>
                <w:kern w:val="0"/>
                <w:szCs w:val="21"/>
              </w:rPr>
              <w:t>填写模糊、矛盾或未使用规定格式，导致无法明确报价内容的，可视为不符合。</w:t>
            </w:r>
          </w:p>
        </w:tc>
      </w:tr>
      <w:tr w14:paraId="0B898CF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709" w:type="dxa"/>
            <w:tcMar>
              <w:top w:w="150" w:type="dxa"/>
              <w:left w:w="0" w:type="dxa"/>
              <w:bottom w:w="150" w:type="dxa"/>
              <w:right w:w="240" w:type="dxa"/>
            </w:tcMar>
            <w:vAlign w:val="center"/>
          </w:tcPr>
          <w:p w14:paraId="01A10D99">
            <w:pPr>
              <w:widowControl/>
              <w:spacing w:line="520" w:lineRule="exact"/>
              <w:contextualSpacing/>
              <w:jc w:val="left"/>
              <w:rPr>
                <w:rFonts w:ascii="仿宋" w:hAnsi="仿宋" w:eastAsia="仿宋" w:cs="宋体"/>
                <w:kern w:val="0"/>
                <w:szCs w:val="21"/>
              </w:rPr>
            </w:pPr>
            <w:r>
              <w:rPr>
                <w:rFonts w:ascii="仿宋" w:hAnsi="仿宋" w:eastAsia="仿宋" w:cs="宋体"/>
                <w:bCs/>
                <w:kern w:val="0"/>
                <w:szCs w:val="21"/>
              </w:rPr>
              <w:t>4</w:t>
            </w:r>
          </w:p>
        </w:tc>
        <w:tc>
          <w:tcPr>
            <w:tcW w:w="1560" w:type="dxa"/>
            <w:tcMar>
              <w:top w:w="150" w:type="dxa"/>
              <w:left w:w="240" w:type="dxa"/>
              <w:bottom w:w="150" w:type="dxa"/>
              <w:right w:w="240" w:type="dxa"/>
            </w:tcMar>
            <w:vAlign w:val="center"/>
          </w:tcPr>
          <w:p w14:paraId="1A935BDC">
            <w:pPr>
              <w:widowControl/>
              <w:spacing w:line="520" w:lineRule="exact"/>
              <w:contextualSpacing/>
              <w:jc w:val="left"/>
              <w:rPr>
                <w:rFonts w:ascii="仿宋" w:hAnsi="仿宋" w:eastAsia="仿宋" w:cs="宋体"/>
                <w:kern w:val="0"/>
                <w:szCs w:val="21"/>
              </w:rPr>
            </w:pPr>
            <w:r>
              <w:rPr>
                <w:rFonts w:ascii="仿宋" w:hAnsi="仿宋" w:eastAsia="仿宋" w:cs="宋体"/>
                <w:bCs/>
                <w:kern w:val="0"/>
                <w:szCs w:val="21"/>
              </w:rPr>
              <w:t>关键响应</w:t>
            </w:r>
          </w:p>
        </w:tc>
        <w:tc>
          <w:tcPr>
            <w:tcW w:w="3543" w:type="dxa"/>
            <w:tcMar>
              <w:top w:w="150" w:type="dxa"/>
              <w:left w:w="240" w:type="dxa"/>
              <w:bottom w:w="150" w:type="dxa"/>
              <w:right w:w="240" w:type="dxa"/>
            </w:tcMar>
            <w:vAlign w:val="center"/>
          </w:tcPr>
          <w:p w14:paraId="37F06A5B">
            <w:pPr>
              <w:widowControl/>
              <w:spacing w:line="520" w:lineRule="exact"/>
              <w:contextualSpacing/>
              <w:jc w:val="left"/>
              <w:rPr>
                <w:rFonts w:ascii="仿宋" w:hAnsi="仿宋" w:eastAsia="仿宋" w:cs="宋体"/>
                <w:kern w:val="0"/>
                <w:szCs w:val="21"/>
              </w:rPr>
            </w:pPr>
            <w:r>
              <w:rPr>
                <w:rFonts w:ascii="仿宋" w:hAnsi="仿宋" w:eastAsia="仿宋" w:cs="宋体"/>
                <w:kern w:val="0"/>
                <w:szCs w:val="21"/>
              </w:rPr>
              <w:t>审查标准：</w:t>
            </w:r>
            <w:r>
              <w:rPr>
                <w:rFonts w:ascii="Calibri" w:hAnsi="Calibri" w:eastAsia="仿宋" w:cs="Calibri"/>
                <w:kern w:val="0"/>
                <w:szCs w:val="21"/>
              </w:rPr>
              <w:t> </w:t>
            </w:r>
            <w:r>
              <w:rPr>
                <w:rFonts w:ascii="仿宋" w:hAnsi="仿宋" w:eastAsia="仿宋" w:cs="宋体"/>
                <w:kern w:val="0"/>
                <w:szCs w:val="21"/>
              </w:rPr>
              <w:t>服务方案、人员配置等核心内容是否实质性响应项目需求。</w:t>
            </w:r>
            <w:r>
              <w:rPr>
                <w:rFonts w:ascii="仿宋" w:hAnsi="仿宋" w:eastAsia="仿宋" w:cs="宋体"/>
                <w:kern w:val="0"/>
                <w:szCs w:val="21"/>
              </w:rPr>
              <w:br w:type="textWrapping"/>
            </w:r>
            <w:r>
              <w:rPr>
                <w:rFonts w:ascii="仿宋" w:hAnsi="仿宋" w:eastAsia="仿宋" w:cs="宋体"/>
                <w:kern w:val="0"/>
                <w:szCs w:val="21"/>
              </w:rPr>
              <w:t>审查要点：</w:t>
            </w:r>
            <w:r>
              <w:rPr>
                <w:rFonts w:ascii="Calibri" w:hAnsi="Calibri" w:eastAsia="仿宋" w:cs="Calibri"/>
                <w:kern w:val="0"/>
                <w:szCs w:val="21"/>
              </w:rPr>
              <w:t> </w:t>
            </w:r>
            <w:r>
              <w:rPr>
                <w:rFonts w:ascii="仿宋" w:hAnsi="仿宋" w:eastAsia="仿宋" w:cs="宋体"/>
                <w:kern w:val="0"/>
                <w:szCs w:val="21"/>
              </w:rPr>
              <w:t xml:space="preserve">审查要点： </w:t>
            </w:r>
          </w:p>
          <w:p w14:paraId="277A5FF3">
            <w:pPr>
              <w:widowControl/>
              <w:spacing w:line="520" w:lineRule="exact"/>
              <w:contextualSpacing/>
              <w:jc w:val="left"/>
              <w:rPr>
                <w:rFonts w:ascii="仿宋" w:hAnsi="仿宋" w:eastAsia="仿宋" w:cs="宋体"/>
                <w:kern w:val="0"/>
                <w:szCs w:val="21"/>
              </w:rPr>
            </w:pPr>
            <w:r>
              <w:rPr>
                <w:rFonts w:ascii="仿宋" w:hAnsi="仿宋" w:eastAsia="仿宋" w:cs="宋体"/>
                <w:kern w:val="0"/>
                <w:szCs w:val="21"/>
              </w:rPr>
              <w:t>1. 服务方案：是否涵盖“每季度维护1次（共4次）”、“主支管道疏通空气冲洗（共2次）”、“年度更换过滤器TNS滤芯（共1次，更换6套）”等全部核心服务内容。</w:t>
            </w:r>
          </w:p>
          <w:p w14:paraId="07D67C97">
            <w:pPr>
              <w:widowControl/>
              <w:spacing w:line="520" w:lineRule="exact"/>
              <w:contextualSpacing/>
              <w:jc w:val="left"/>
              <w:rPr>
                <w:rFonts w:ascii="仿宋" w:hAnsi="仿宋" w:eastAsia="仿宋" w:cs="宋体"/>
                <w:kern w:val="0"/>
                <w:szCs w:val="21"/>
              </w:rPr>
            </w:pPr>
            <w:r>
              <w:rPr>
                <w:rFonts w:ascii="仿宋" w:hAnsi="仿宋" w:eastAsia="仿宋" w:cs="宋体"/>
                <w:kern w:val="0"/>
                <w:szCs w:val="21"/>
              </w:rPr>
              <w:t>2.</w:t>
            </w:r>
            <w:r>
              <w:rPr>
                <w:rFonts w:ascii="Calibri" w:hAnsi="Calibri" w:eastAsia="仿宋" w:cs="Calibri"/>
                <w:kern w:val="0"/>
                <w:szCs w:val="21"/>
              </w:rPr>
              <w:t> </w:t>
            </w:r>
            <w:r>
              <w:rPr>
                <w:rFonts w:ascii="仿宋" w:hAnsi="仿宋" w:eastAsia="仿宋" w:cs="宋体"/>
                <w:kern w:val="0"/>
                <w:szCs w:val="21"/>
              </w:rPr>
              <w:t>人员配置：是否明确承诺所有现场作业人员具备公告要求的相关有效证书（高空作业、低压电工等）。</w:t>
            </w:r>
          </w:p>
          <w:p w14:paraId="2237C005">
            <w:pPr>
              <w:widowControl/>
              <w:spacing w:line="520" w:lineRule="exact"/>
              <w:contextualSpacing/>
              <w:jc w:val="left"/>
              <w:rPr>
                <w:rFonts w:ascii="仿宋" w:hAnsi="仿宋" w:eastAsia="仿宋" w:cs="宋体"/>
                <w:kern w:val="0"/>
                <w:szCs w:val="21"/>
              </w:rPr>
            </w:pPr>
            <w:r>
              <w:rPr>
                <w:rFonts w:ascii="仿宋" w:hAnsi="仿宋" w:eastAsia="仿宋" w:cs="宋体"/>
                <w:kern w:val="0"/>
                <w:szCs w:val="21"/>
              </w:rPr>
              <w:t>3.</w:t>
            </w:r>
            <w:r>
              <w:rPr>
                <w:rFonts w:ascii="Calibri" w:hAnsi="Calibri" w:eastAsia="仿宋" w:cs="Calibri"/>
                <w:kern w:val="0"/>
                <w:szCs w:val="21"/>
              </w:rPr>
              <w:t> </w:t>
            </w:r>
            <w:r>
              <w:rPr>
                <w:rFonts w:ascii="仿宋" w:hAnsi="仿宋" w:eastAsia="仿宋" w:cs="宋体"/>
                <w:kern w:val="0"/>
                <w:szCs w:val="21"/>
              </w:rPr>
              <w:t>实质性负偏离：是否对项目核心需求存在删减、否定或无法满足的响应。</w:t>
            </w:r>
          </w:p>
        </w:tc>
        <w:tc>
          <w:tcPr>
            <w:tcW w:w="1843" w:type="dxa"/>
            <w:tcMar>
              <w:top w:w="150" w:type="dxa"/>
              <w:left w:w="240" w:type="dxa"/>
              <w:bottom w:w="150" w:type="dxa"/>
              <w:right w:w="240" w:type="dxa"/>
            </w:tcMar>
            <w:vAlign w:val="center"/>
          </w:tcPr>
          <w:p w14:paraId="4FCE4E87">
            <w:pPr>
              <w:widowControl/>
              <w:spacing w:line="520" w:lineRule="exact"/>
              <w:contextualSpacing/>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符合</w:t>
            </w:r>
            <w:r>
              <w:rPr>
                <w:rFonts w:ascii="仿宋" w:hAnsi="仿宋" w:eastAsia="仿宋" w:cs="宋体"/>
                <w:kern w:val="0"/>
                <w:szCs w:val="21"/>
              </w:rPr>
              <w:br w:type="textWrapping"/>
            </w:r>
            <w:r>
              <w:rPr>
                <w:rFonts w:ascii="Segoe UI Symbol" w:hAnsi="Segoe UI Symbol" w:eastAsia="仿宋" w:cs="Segoe UI Symbol"/>
                <w:kern w:val="0"/>
                <w:szCs w:val="21"/>
              </w:rPr>
              <w:t>☐</w:t>
            </w:r>
            <w:r>
              <w:rPr>
                <w:rFonts w:ascii="仿宋" w:hAnsi="仿宋" w:eastAsia="仿宋" w:cs="宋体"/>
                <w:kern w:val="0"/>
                <w:szCs w:val="21"/>
              </w:rPr>
              <w:t xml:space="preserve"> 不符合</w:t>
            </w:r>
          </w:p>
        </w:tc>
        <w:tc>
          <w:tcPr>
            <w:tcW w:w="2268" w:type="dxa"/>
            <w:tcMar>
              <w:top w:w="150" w:type="dxa"/>
              <w:left w:w="240" w:type="dxa"/>
              <w:bottom w:w="150" w:type="dxa"/>
              <w:right w:w="0" w:type="dxa"/>
            </w:tcMar>
            <w:vAlign w:val="center"/>
          </w:tcPr>
          <w:p w14:paraId="38A776E9">
            <w:pPr>
              <w:widowControl/>
              <w:spacing w:line="520" w:lineRule="exact"/>
              <w:contextualSpacing/>
              <w:jc w:val="left"/>
              <w:rPr>
                <w:rFonts w:ascii="仿宋" w:hAnsi="仿宋" w:eastAsia="仿宋" w:cs="宋体"/>
                <w:kern w:val="0"/>
                <w:szCs w:val="21"/>
              </w:rPr>
            </w:pPr>
            <w:r>
              <w:rPr>
                <w:rFonts w:ascii="仿宋" w:hAnsi="仿宋" w:eastAsia="仿宋" w:cs="宋体"/>
                <w:kern w:val="0"/>
                <w:szCs w:val="21"/>
              </w:rPr>
              <w:t>此为主观判断项。评审需结合项目需求综合判断。对非核心内容的微小偏离或优化建议，不视为负偏离。</w:t>
            </w:r>
          </w:p>
        </w:tc>
      </w:tr>
      <w:tr w14:paraId="5E713A0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709" w:type="dxa"/>
            <w:tcMar>
              <w:top w:w="150" w:type="dxa"/>
              <w:left w:w="0" w:type="dxa"/>
              <w:bottom w:w="150" w:type="dxa"/>
              <w:right w:w="240" w:type="dxa"/>
            </w:tcMar>
            <w:vAlign w:val="center"/>
          </w:tcPr>
          <w:p w14:paraId="36F245D6">
            <w:pPr>
              <w:widowControl/>
              <w:spacing w:line="520" w:lineRule="exact"/>
              <w:contextualSpacing/>
              <w:jc w:val="left"/>
              <w:rPr>
                <w:rFonts w:ascii="仿宋" w:hAnsi="仿宋" w:eastAsia="仿宋" w:cs="宋体"/>
                <w:kern w:val="0"/>
                <w:szCs w:val="21"/>
              </w:rPr>
            </w:pPr>
            <w:r>
              <w:rPr>
                <w:rFonts w:ascii="仿宋" w:hAnsi="仿宋" w:eastAsia="仿宋" w:cs="宋体"/>
                <w:bCs/>
                <w:kern w:val="0"/>
                <w:szCs w:val="21"/>
              </w:rPr>
              <w:t>5</w:t>
            </w:r>
          </w:p>
        </w:tc>
        <w:tc>
          <w:tcPr>
            <w:tcW w:w="1560" w:type="dxa"/>
            <w:tcMar>
              <w:top w:w="150" w:type="dxa"/>
              <w:left w:w="240" w:type="dxa"/>
              <w:bottom w:w="150" w:type="dxa"/>
              <w:right w:w="240" w:type="dxa"/>
            </w:tcMar>
            <w:vAlign w:val="center"/>
          </w:tcPr>
          <w:p w14:paraId="076DF59E">
            <w:pPr>
              <w:widowControl/>
              <w:spacing w:line="520" w:lineRule="exact"/>
              <w:contextualSpacing/>
              <w:jc w:val="left"/>
              <w:rPr>
                <w:rFonts w:ascii="仿宋" w:hAnsi="仿宋" w:eastAsia="仿宋" w:cs="宋体"/>
                <w:kern w:val="0"/>
                <w:szCs w:val="21"/>
              </w:rPr>
            </w:pPr>
            <w:r>
              <w:rPr>
                <w:rFonts w:ascii="仿宋" w:hAnsi="仿宋" w:eastAsia="仿宋" w:cs="宋体"/>
                <w:bCs/>
                <w:kern w:val="0"/>
                <w:szCs w:val="21"/>
              </w:rPr>
              <w:t>有效期</w:t>
            </w:r>
          </w:p>
        </w:tc>
        <w:tc>
          <w:tcPr>
            <w:tcW w:w="3543" w:type="dxa"/>
            <w:tcMar>
              <w:top w:w="150" w:type="dxa"/>
              <w:left w:w="240" w:type="dxa"/>
              <w:bottom w:w="150" w:type="dxa"/>
              <w:right w:w="240" w:type="dxa"/>
            </w:tcMar>
            <w:vAlign w:val="center"/>
          </w:tcPr>
          <w:p w14:paraId="20745DD5">
            <w:pPr>
              <w:widowControl/>
              <w:spacing w:line="520" w:lineRule="exact"/>
              <w:contextualSpacing/>
              <w:jc w:val="left"/>
              <w:rPr>
                <w:rFonts w:ascii="仿宋" w:hAnsi="仿宋" w:eastAsia="仿宋" w:cs="宋体"/>
                <w:kern w:val="0"/>
                <w:szCs w:val="21"/>
              </w:rPr>
            </w:pPr>
            <w:r>
              <w:rPr>
                <w:rFonts w:ascii="仿宋" w:hAnsi="仿宋" w:eastAsia="仿宋" w:cs="宋体"/>
                <w:bCs/>
                <w:kern w:val="0"/>
                <w:szCs w:val="21"/>
              </w:rPr>
              <w:t>审查标准：</w:t>
            </w:r>
            <w:r>
              <w:rPr>
                <w:rFonts w:ascii="Calibri" w:hAnsi="Calibri" w:eastAsia="仿宋" w:cs="Calibri"/>
                <w:kern w:val="0"/>
                <w:szCs w:val="21"/>
              </w:rPr>
              <w:t> </w:t>
            </w:r>
            <w:r>
              <w:rPr>
                <w:rFonts w:ascii="仿宋" w:hAnsi="仿宋" w:eastAsia="仿宋" w:cs="宋体"/>
                <w:kern w:val="0"/>
                <w:szCs w:val="21"/>
              </w:rPr>
              <w:t>参选文件中所涉及的各类承诺、声明、证书、证明等文件是否均在规定的有效期内。</w:t>
            </w:r>
            <w:r>
              <w:rPr>
                <w:rFonts w:ascii="仿宋" w:hAnsi="仿宋" w:eastAsia="仿宋" w:cs="宋体"/>
                <w:kern w:val="0"/>
                <w:szCs w:val="21"/>
              </w:rPr>
              <w:br w:type="textWrapping"/>
            </w:r>
            <w:r>
              <w:rPr>
                <w:rFonts w:ascii="仿宋" w:hAnsi="仿宋" w:eastAsia="仿宋" w:cs="宋体"/>
                <w:bCs/>
                <w:kern w:val="0"/>
                <w:szCs w:val="21"/>
              </w:rPr>
              <w:t>审查要点：</w:t>
            </w:r>
            <w:r>
              <w:rPr>
                <w:rFonts w:ascii="仿宋" w:hAnsi="仿宋" w:eastAsia="仿宋" w:cs="宋体"/>
                <w:kern w:val="0"/>
                <w:szCs w:val="21"/>
              </w:rPr>
              <w:br w:type="textWrapping"/>
            </w:r>
            <w:r>
              <w:rPr>
                <w:rFonts w:ascii="仿宋" w:hAnsi="仿宋" w:eastAsia="仿宋" w:cs="宋体"/>
                <w:kern w:val="0"/>
                <w:szCs w:val="21"/>
              </w:rPr>
              <w:t>1. 授权委托书（如适用）是否在授权有效期内。</w:t>
            </w:r>
            <w:r>
              <w:rPr>
                <w:rFonts w:ascii="仿宋" w:hAnsi="仿宋" w:eastAsia="仿宋" w:cs="宋体"/>
                <w:kern w:val="0"/>
                <w:szCs w:val="21"/>
              </w:rPr>
              <w:br w:type="textWrapping"/>
            </w:r>
            <w:r>
              <w:rPr>
                <w:rFonts w:ascii="仿宋" w:hAnsi="仿宋" w:eastAsia="仿宋" w:cs="宋体"/>
                <w:kern w:val="0"/>
                <w:szCs w:val="21"/>
              </w:rPr>
              <w:t>2. 提供的专业人员证书、资质证书等（如有）是否在有效期内。</w:t>
            </w:r>
            <w:r>
              <w:rPr>
                <w:rFonts w:ascii="仿宋" w:hAnsi="仿宋" w:eastAsia="仿宋" w:cs="宋体"/>
                <w:kern w:val="0"/>
                <w:szCs w:val="21"/>
              </w:rPr>
              <w:br w:type="textWrapping"/>
            </w:r>
            <w:r>
              <w:rPr>
                <w:rFonts w:ascii="仿宋" w:hAnsi="仿宋" w:eastAsia="仿宋" w:cs="宋体"/>
                <w:kern w:val="0"/>
                <w:szCs w:val="21"/>
              </w:rPr>
              <w:t>3. 所有承诺函、声明函是否载明有效期或为长期有效。</w:t>
            </w:r>
          </w:p>
        </w:tc>
        <w:tc>
          <w:tcPr>
            <w:tcW w:w="1843" w:type="dxa"/>
            <w:tcMar>
              <w:top w:w="150" w:type="dxa"/>
              <w:left w:w="240" w:type="dxa"/>
              <w:bottom w:w="150" w:type="dxa"/>
              <w:right w:w="240" w:type="dxa"/>
            </w:tcMar>
            <w:vAlign w:val="center"/>
          </w:tcPr>
          <w:p w14:paraId="2B406708">
            <w:pPr>
              <w:widowControl/>
              <w:spacing w:line="520" w:lineRule="exact"/>
              <w:contextualSpacing/>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符合</w:t>
            </w:r>
            <w:r>
              <w:rPr>
                <w:rFonts w:ascii="仿宋" w:hAnsi="仿宋" w:eastAsia="仿宋" w:cs="宋体"/>
                <w:kern w:val="0"/>
                <w:szCs w:val="21"/>
              </w:rPr>
              <w:br w:type="textWrapping"/>
            </w:r>
            <w:r>
              <w:rPr>
                <w:rFonts w:ascii="Segoe UI Symbol" w:hAnsi="Segoe UI Symbol" w:eastAsia="仿宋" w:cs="Segoe UI Symbol"/>
                <w:kern w:val="0"/>
                <w:szCs w:val="21"/>
              </w:rPr>
              <w:t>☐</w:t>
            </w:r>
            <w:r>
              <w:rPr>
                <w:rFonts w:ascii="仿宋" w:hAnsi="仿宋" w:eastAsia="仿宋" w:cs="宋体"/>
                <w:kern w:val="0"/>
                <w:szCs w:val="21"/>
              </w:rPr>
              <w:t xml:space="preserve"> 不符合</w:t>
            </w:r>
          </w:p>
        </w:tc>
        <w:tc>
          <w:tcPr>
            <w:tcW w:w="2268" w:type="dxa"/>
            <w:tcMar>
              <w:top w:w="150" w:type="dxa"/>
              <w:left w:w="240" w:type="dxa"/>
              <w:bottom w:w="150" w:type="dxa"/>
              <w:right w:w="0" w:type="dxa"/>
            </w:tcMar>
            <w:vAlign w:val="center"/>
          </w:tcPr>
          <w:p w14:paraId="60BD6FA7">
            <w:pPr>
              <w:widowControl/>
              <w:spacing w:line="520" w:lineRule="exact"/>
              <w:contextualSpacing/>
              <w:jc w:val="left"/>
              <w:rPr>
                <w:rFonts w:ascii="仿宋" w:hAnsi="仿宋" w:eastAsia="仿宋" w:cs="宋体"/>
                <w:kern w:val="0"/>
                <w:szCs w:val="21"/>
              </w:rPr>
            </w:pPr>
            <w:r>
              <w:rPr>
                <w:rFonts w:ascii="仿宋" w:hAnsi="仿宋" w:eastAsia="仿宋" w:cs="宋体"/>
                <w:kern w:val="0"/>
                <w:szCs w:val="21"/>
              </w:rPr>
              <w:t>主要审查文件中明确载明有效期的材料。</w:t>
            </w:r>
          </w:p>
        </w:tc>
      </w:tr>
    </w:tbl>
    <w:p w14:paraId="38CBE8A6">
      <w:pPr>
        <w:widowControl/>
        <w:shd w:val="clear" w:color="auto" w:fill="FFFFFF"/>
        <w:spacing w:line="520" w:lineRule="exact"/>
        <w:contextualSpacing/>
        <w:jc w:val="left"/>
        <w:rPr>
          <w:rFonts w:ascii="仿宋" w:hAnsi="仿宋" w:eastAsia="仿宋" w:cs="Segoe UI"/>
          <w:color w:val="0F1115"/>
          <w:kern w:val="0"/>
          <w:szCs w:val="21"/>
        </w:rPr>
      </w:pPr>
      <w:r>
        <w:rPr>
          <w:rFonts w:ascii="仿宋" w:hAnsi="仿宋" w:eastAsia="仿宋" w:cs="Segoe UI"/>
          <w:bCs/>
          <w:color w:val="0F1115"/>
          <w:kern w:val="0"/>
          <w:szCs w:val="21"/>
        </w:rPr>
        <w:t>符合性审查总体结论记录表</w:t>
      </w:r>
    </w:p>
    <w:p w14:paraId="01A8F470">
      <w:pPr>
        <w:widowControl/>
        <w:shd w:val="clear" w:color="auto" w:fill="FFFFFF"/>
        <w:spacing w:line="520" w:lineRule="exact"/>
        <w:contextualSpacing/>
        <w:jc w:val="left"/>
        <w:rPr>
          <w:rFonts w:ascii="仿宋" w:hAnsi="仿宋" w:eastAsia="仿宋" w:cs="Segoe UI"/>
          <w:color w:val="0F1115"/>
          <w:kern w:val="0"/>
          <w:szCs w:val="21"/>
        </w:rPr>
      </w:pPr>
      <w:r>
        <w:rPr>
          <w:rFonts w:ascii="仿宋" w:hAnsi="仿宋" w:eastAsia="仿宋" w:cs="Segoe UI"/>
          <w:bCs/>
          <w:color w:val="0F1115"/>
          <w:kern w:val="0"/>
          <w:szCs w:val="21"/>
        </w:rPr>
        <w:t>评审员填写指引：</w:t>
      </w:r>
    </w:p>
    <w:p w14:paraId="49B60EC8">
      <w:pPr>
        <w:widowControl/>
        <w:numPr>
          <w:ilvl w:val="0"/>
          <w:numId w:val="1"/>
        </w:numPr>
        <w:shd w:val="clear" w:color="auto" w:fill="FFFFFF"/>
        <w:tabs>
          <w:tab w:val="clear" w:pos="720"/>
        </w:tabs>
        <w:spacing w:line="520" w:lineRule="exact"/>
        <w:ind w:left="0" w:firstLine="0"/>
        <w:contextualSpacing/>
        <w:jc w:val="left"/>
        <w:rPr>
          <w:rFonts w:ascii="仿宋" w:hAnsi="仿宋" w:eastAsia="仿宋" w:cs="Segoe UI"/>
          <w:color w:val="0F1115"/>
          <w:kern w:val="0"/>
          <w:szCs w:val="21"/>
        </w:rPr>
      </w:pPr>
      <w:r>
        <w:rPr>
          <w:rFonts w:ascii="仿宋" w:hAnsi="仿宋" w:eastAsia="仿宋" w:cs="Segoe UI"/>
          <w:color w:val="0F1115"/>
          <w:kern w:val="0"/>
          <w:szCs w:val="21"/>
        </w:rPr>
        <w:t>请根据上表对每家参选人进行逐项审查，并在对应“审查结论”栏勾选“符合”或“不符合”。</w:t>
      </w:r>
    </w:p>
    <w:p w14:paraId="6861DAEF">
      <w:pPr>
        <w:widowControl/>
        <w:numPr>
          <w:ilvl w:val="0"/>
          <w:numId w:val="1"/>
        </w:numPr>
        <w:shd w:val="clear" w:color="auto" w:fill="FFFFFF"/>
        <w:tabs>
          <w:tab w:val="clear" w:pos="720"/>
        </w:tabs>
        <w:spacing w:line="520" w:lineRule="exact"/>
        <w:ind w:left="0" w:firstLine="0"/>
        <w:contextualSpacing/>
        <w:jc w:val="left"/>
        <w:rPr>
          <w:rFonts w:ascii="仿宋" w:hAnsi="仿宋" w:eastAsia="仿宋" w:cs="Segoe UI"/>
          <w:color w:val="0F1115"/>
          <w:kern w:val="0"/>
          <w:szCs w:val="21"/>
        </w:rPr>
      </w:pPr>
      <w:r>
        <w:rPr>
          <w:rFonts w:ascii="仿宋" w:hAnsi="仿宋" w:eastAsia="仿宋" w:cs="Segoe UI"/>
          <w:color w:val="0F1115"/>
          <w:kern w:val="0"/>
          <w:szCs w:val="21"/>
        </w:rPr>
        <w:t>完成逐项审查后，根据评审原则，在本表记录总体结论。</w:t>
      </w:r>
    </w:p>
    <w:p w14:paraId="0D18E4AF">
      <w:pPr>
        <w:widowControl/>
        <w:numPr>
          <w:ilvl w:val="0"/>
          <w:numId w:val="1"/>
        </w:numPr>
        <w:shd w:val="clear" w:color="auto" w:fill="FFFFFF"/>
        <w:tabs>
          <w:tab w:val="clear" w:pos="720"/>
        </w:tabs>
        <w:spacing w:line="520" w:lineRule="exact"/>
        <w:ind w:left="0" w:firstLine="0"/>
        <w:contextualSpacing/>
        <w:jc w:val="left"/>
        <w:rPr>
          <w:rFonts w:ascii="仿宋" w:hAnsi="仿宋" w:eastAsia="仿宋" w:cs="Segoe UI"/>
          <w:color w:val="0F1115"/>
          <w:kern w:val="0"/>
          <w:szCs w:val="21"/>
        </w:rPr>
      </w:pPr>
      <w:r>
        <w:rPr>
          <w:rFonts w:ascii="仿宋" w:hAnsi="仿宋" w:eastAsia="仿宋" w:cs="Segoe UI"/>
          <w:color w:val="0F1115"/>
          <w:kern w:val="0"/>
          <w:szCs w:val="21"/>
        </w:rPr>
        <w:t>对结论为“不符合”的参选人，</w:t>
      </w:r>
      <w:bookmarkStart w:id="0" w:name="_GoBack"/>
      <w:bookmarkEnd w:id="0"/>
      <w:r>
        <w:rPr>
          <w:rFonts w:ascii="仿宋" w:hAnsi="仿宋" w:eastAsia="仿宋" w:cs="Segoe UI"/>
          <w:color w:val="0F1115"/>
          <w:kern w:val="0"/>
          <w:szCs w:val="21"/>
        </w:rPr>
        <w:t>必须在“不符合原因说明”栏中，清晰、具体地注明所违反的审查项目序号及事实依据。</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15" w:type="dxa"/>
          <w:left w:w="15" w:type="dxa"/>
          <w:bottom w:w="15" w:type="dxa"/>
          <w:right w:w="15" w:type="dxa"/>
        </w:tblCellMar>
      </w:tblPr>
      <w:tblGrid>
        <w:gridCol w:w="1065"/>
        <w:gridCol w:w="2729"/>
        <w:gridCol w:w="1404"/>
        <w:gridCol w:w="3348"/>
      </w:tblGrid>
      <w:tr w14:paraId="27B70D6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tblHeader/>
        </w:trPr>
        <w:tc>
          <w:tcPr>
            <w:tcW w:w="0" w:type="auto"/>
            <w:tcMar>
              <w:top w:w="150" w:type="dxa"/>
              <w:left w:w="0" w:type="dxa"/>
              <w:bottom w:w="150" w:type="dxa"/>
              <w:right w:w="240" w:type="dxa"/>
            </w:tcMar>
            <w:vAlign w:val="center"/>
          </w:tcPr>
          <w:p w14:paraId="0F09C998">
            <w:pPr>
              <w:widowControl/>
              <w:spacing w:line="520" w:lineRule="exact"/>
              <w:contextualSpacing/>
              <w:jc w:val="left"/>
              <w:rPr>
                <w:rFonts w:ascii="仿宋" w:hAnsi="仿宋" w:eastAsia="仿宋" w:cs="宋体"/>
                <w:bCs/>
                <w:kern w:val="0"/>
                <w:szCs w:val="21"/>
              </w:rPr>
            </w:pPr>
            <w:r>
              <w:rPr>
                <w:rFonts w:ascii="仿宋" w:hAnsi="仿宋" w:eastAsia="仿宋" w:cs="宋体"/>
                <w:bCs/>
                <w:kern w:val="0"/>
                <w:szCs w:val="21"/>
              </w:rPr>
              <w:t>评审顺序号</w:t>
            </w:r>
          </w:p>
        </w:tc>
        <w:tc>
          <w:tcPr>
            <w:tcW w:w="0" w:type="auto"/>
            <w:tcMar>
              <w:top w:w="150" w:type="dxa"/>
              <w:left w:w="240" w:type="dxa"/>
              <w:bottom w:w="150" w:type="dxa"/>
              <w:right w:w="240" w:type="dxa"/>
            </w:tcMar>
            <w:vAlign w:val="center"/>
          </w:tcPr>
          <w:p w14:paraId="058792A8">
            <w:pPr>
              <w:widowControl/>
              <w:spacing w:line="520" w:lineRule="exact"/>
              <w:contextualSpacing/>
              <w:jc w:val="left"/>
              <w:rPr>
                <w:rFonts w:ascii="仿宋" w:hAnsi="仿宋" w:eastAsia="仿宋" w:cs="宋体"/>
                <w:bCs/>
                <w:kern w:val="0"/>
                <w:szCs w:val="21"/>
              </w:rPr>
            </w:pPr>
            <w:r>
              <w:rPr>
                <w:rFonts w:ascii="仿宋" w:hAnsi="仿宋" w:eastAsia="仿宋" w:cs="宋体"/>
                <w:bCs/>
                <w:kern w:val="0"/>
                <w:szCs w:val="21"/>
              </w:rPr>
              <w:t>参选人名称</w:t>
            </w:r>
          </w:p>
        </w:tc>
        <w:tc>
          <w:tcPr>
            <w:tcW w:w="1404" w:type="dxa"/>
            <w:tcMar>
              <w:top w:w="150" w:type="dxa"/>
              <w:left w:w="240" w:type="dxa"/>
              <w:bottom w:w="150" w:type="dxa"/>
              <w:right w:w="240" w:type="dxa"/>
            </w:tcMar>
            <w:vAlign w:val="center"/>
          </w:tcPr>
          <w:p w14:paraId="3D11E09E">
            <w:pPr>
              <w:widowControl/>
              <w:spacing w:line="520" w:lineRule="exact"/>
              <w:contextualSpacing/>
              <w:jc w:val="left"/>
              <w:rPr>
                <w:rFonts w:ascii="仿宋" w:hAnsi="仿宋" w:eastAsia="仿宋" w:cs="宋体"/>
                <w:bCs/>
                <w:kern w:val="0"/>
                <w:szCs w:val="21"/>
              </w:rPr>
            </w:pPr>
            <w:r>
              <w:rPr>
                <w:rFonts w:ascii="仿宋" w:hAnsi="仿宋" w:eastAsia="仿宋" w:cs="宋体"/>
                <w:bCs/>
                <w:kern w:val="0"/>
                <w:szCs w:val="21"/>
              </w:rPr>
              <w:t>总体结论</w:t>
            </w:r>
          </w:p>
        </w:tc>
        <w:tc>
          <w:tcPr>
            <w:tcW w:w="3349" w:type="dxa"/>
            <w:tcMar>
              <w:top w:w="150" w:type="dxa"/>
              <w:left w:w="240" w:type="dxa"/>
              <w:bottom w:w="150" w:type="dxa"/>
              <w:right w:w="240" w:type="dxa"/>
            </w:tcMar>
            <w:vAlign w:val="center"/>
          </w:tcPr>
          <w:p w14:paraId="71E2DFF7">
            <w:pPr>
              <w:widowControl/>
              <w:spacing w:line="520" w:lineRule="exact"/>
              <w:contextualSpacing/>
              <w:jc w:val="left"/>
              <w:rPr>
                <w:rFonts w:ascii="仿宋" w:hAnsi="仿宋" w:eastAsia="仿宋" w:cs="宋体"/>
                <w:bCs/>
                <w:kern w:val="0"/>
                <w:szCs w:val="21"/>
              </w:rPr>
            </w:pPr>
            <w:r>
              <w:rPr>
                <w:rFonts w:ascii="仿宋" w:hAnsi="仿宋" w:eastAsia="仿宋" w:cs="宋体"/>
                <w:bCs/>
                <w:kern w:val="0"/>
                <w:szCs w:val="21"/>
              </w:rPr>
              <w:t>不符合原因说明 (仅当结论为“不符合”时填写)</w:t>
            </w:r>
          </w:p>
        </w:tc>
      </w:tr>
      <w:tr w14:paraId="71DEB5C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34890573">
            <w:pPr>
              <w:widowControl/>
              <w:spacing w:line="520" w:lineRule="exact"/>
              <w:contextualSpacing/>
              <w:jc w:val="left"/>
              <w:rPr>
                <w:rFonts w:ascii="仿宋" w:hAnsi="仿宋" w:eastAsia="仿宋" w:cs="宋体"/>
                <w:kern w:val="0"/>
                <w:szCs w:val="21"/>
              </w:rPr>
            </w:pPr>
            <w:r>
              <w:rPr>
                <w:rFonts w:ascii="仿宋" w:hAnsi="仿宋" w:eastAsia="仿宋" w:cs="宋体"/>
                <w:kern w:val="0"/>
                <w:szCs w:val="21"/>
              </w:rPr>
              <w:t>1</w:t>
            </w:r>
          </w:p>
        </w:tc>
        <w:tc>
          <w:tcPr>
            <w:tcW w:w="0" w:type="auto"/>
            <w:tcMar>
              <w:top w:w="150" w:type="dxa"/>
              <w:left w:w="240" w:type="dxa"/>
              <w:bottom w:w="150" w:type="dxa"/>
              <w:right w:w="240" w:type="dxa"/>
            </w:tcMar>
            <w:vAlign w:val="center"/>
          </w:tcPr>
          <w:p w14:paraId="07A2E3FF">
            <w:pPr>
              <w:widowControl/>
              <w:spacing w:line="520" w:lineRule="exact"/>
              <w:contextualSpacing/>
              <w:jc w:val="left"/>
              <w:rPr>
                <w:rFonts w:ascii="仿宋" w:hAnsi="仿宋" w:eastAsia="仿宋" w:cs="宋体"/>
                <w:kern w:val="0"/>
                <w:szCs w:val="21"/>
              </w:rPr>
            </w:pPr>
          </w:p>
        </w:tc>
        <w:tc>
          <w:tcPr>
            <w:tcW w:w="1404" w:type="dxa"/>
            <w:tcMar>
              <w:top w:w="150" w:type="dxa"/>
              <w:left w:w="240" w:type="dxa"/>
              <w:bottom w:w="150" w:type="dxa"/>
              <w:right w:w="240" w:type="dxa"/>
            </w:tcMar>
            <w:vAlign w:val="center"/>
          </w:tcPr>
          <w:p w14:paraId="0F11719A">
            <w:pPr>
              <w:widowControl/>
              <w:spacing w:line="520" w:lineRule="exact"/>
              <w:contextualSpacing/>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符合 </w:t>
            </w:r>
          </w:p>
          <w:p w14:paraId="2B3FCAC2">
            <w:pPr>
              <w:widowControl/>
              <w:spacing w:line="520" w:lineRule="exact"/>
              <w:contextualSpacing/>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不符合</w:t>
            </w:r>
          </w:p>
        </w:tc>
        <w:tc>
          <w:tcPr>
            <w:tcW w:w="3349" w:type="dxa"/>
            <w:tcMar>
              <w:top w:w="150" w:type="dxa"/>
              <w:left w:w="240" w:type="dxa"/>
              <w:bottom w:w="150" w:type="dxa"/>
              <w:right w:w="0" w:type="dxa"/>
            </w:tcMar>
            <w:vAlign w:val="center"/>
          </w:tcPr>
          <w:p w14:paraId="49523597">
            <w:pPr>
              <w:widowControl/>
              <w:spacing w:line="520" w:lineRule="exact"/>
              <w:contextualSpacing/>
              <w:jc w:val="left"/>
              <w:rPr>
                <w:rFonts w:ascii="仿宋" w:hAnsi="仿宋" w:eastAsia="仿宋" w:cs="宋体"/>
                <w:kern w:val="0"/>
                <w:szCs w:val="21"/>
              </w:rPr>
            </w:pPr>
          </w:p>
        </w:tc>
      </w:tr>
      <w:tr w14:paraId="29C787C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07F0578E">
            <w:pPr>
              <w:widowControl/>
              <w:spacing w:line="520" w:lineRule="exact"/>
              <w:contextualSpacing/>
              <w:jc w:val="left"/>
              <w:rPr>
                <w:rFonts w:ascii="仿宋" w:hAnsi="仿宋" w:eastAsia="仿宋" w:cs="宋体"/>
                <w:kern w:val="0"/>
                <w:szCs w:val="21"/>
              </w:rPr>
            </w:pPr>
            <w:r>
              <w:rPr>
                <w:rFonts w:ascii="仿宋" w:hAnsi="仿宋" w:eastAsia="仿宋" w:cs="宋体"/>
                <w:kern w:val="0"/>
                <w:szCs w:val="21"/>
              </w:rPr>
              <w:t>2</w:t>
            </w:r>
          </w:p>
        </w:tc>
        <w:tc>
          <w:tcPr>
            <w:tcW w:w="0" w:type="auto"/>
            <w:tcMar>
              <w:top w:w="150" w:type="dxa"/>
              <w:left w:w="240" w:type="dxa"/>
              <w:bottom w:w="150" w:type="dxa"/>
              <w:right w:w="240" w:type="dxa"/>
            </w:tcMar>
            <w:vAlign w:val="center"/>
          </w:tcPr>
          <w:p w14:paraId="2A5BA859">
            <w:pPr>
              <w:widowControl/>
              <w:spacing w:line="520" w:lineRule="exact"/>
              <w:contextualSpacing/>
              <w:jc w:val="left"/>
              <w:rPr>
                <w:rFonts w:ascii="仿宋" w:hAnsi="仿宋" w:eastAsia="仿宋" w:cs="宋体"/>
                <w:kern w:val="0"/>
                <w:szCs w:val="21"/>
              </w:rPr>
            </w:pPr>
          </w:p>
        </w:tc>
        <w:tc>
          <w:tcPr>
            <w:tcW w:w="1404" w:type="dxa"/>
            <w:tcMar>
              <w:top w:w="150" w:type="dxa"/>
              <w:left w:w="240" w:type="dxa"/>
              <w:bottom w:w="150" w:type="dxa"/>
              <w:right w:w="240" w:type="dxa"/>
            </w:tcMar>
            <w:vAlign w:val="center"/>
          </w:tcPr>
          <w:p w14:paraId="195615EE">
            <w:pPr>
              <w:widowControl/>
              <w:spacing w:line="520" w:lineRule="exact"/>
              <w:contextualSpacing/>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符合 </w:t>
            </w:r>
          </w:p>
          <w:p w14:paraId="16941CC3">
            <w:pPr>
              <w:widowControl/>
              <w:spacing w:line="520" w:lineRule="exact"/>
              <w:contextualSpacing/>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不符合</w:t>
            </w:r>
          </w:p>
        </w:tc>
        <w:tc>
          <w:tcPr>
            <w:tcW w:w="3349" w:type="dxa"/>
            <w:tcMar>
              <w:top w:w="150" w:type="dxa"/>
              <w:left w:w="240" w:type="dxa"/>
              <w:bottom w:w="150" w:type="dxa"/>
              <w:right w:w="0" w:type="dxa"/>
            </w:tcMar>
            <w:vAlign w:val="center"/>
          </w:tcPr>
          <w:p w14:paraId="4B201B63">
            <w:pPr>
              <w:widowControl/>
              <w:spacing w:line="520" w:lineRule="exact"/>
              <w:contextualSpacing/>
              <w:jc w:val="left"/>
              <w:rPr>
                <w:rFonts w:ascii="仿宋" w:hAnsi="仿宋" w:eastAsia="仿宋" w:cs="宋体"/>
                <w:kern w:val="0"/>
                <w:szCs w:val="21"/>
              </w:rPr>
            </w:pPr>
          </w:p>
        </w:tc>
      </w:tr>
      <w:tr w14:paraId="1215DCE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66B166FD">
            <w:pPr>
              <w:widowControl/>
              <w:spacing w:line="520" w:lineRule="exact"/>
              <w:contextualSpacing/>
              <w:jc w:val="left"/>
              <w:rPr>
                <w:rFonts w:ascii="仿宋" w:hAnsi="仿宋" w:eastAsia="仿宋" w:cs="宋体"/>
                <w:kern w:val="0"/>
                <w:szCs w:val="21"/>
              </w:rPr>
            </w:pPr>
            <w:r>
              <w:rPr>
                <w:rFonts w:ascii="仿宋" w:hAnsi="仿宋" w:eastAsia="仿宋" w:cs="宋体"/>
                <w:kern w:val="0"/>
                <w:szCs w:val="21"/>
              </w:rPr>
              <w:t>3</w:t>
            </w:r>
          </w:p>
        </w:tc>
        <w:tc>
          <w:tcPr>
            <w:tcW w:w="0" w:type="auto"/>
            <w:tcMar>
              <w:top w:w="150" w:type="dxa"/>
              <w:left w:w="240" w:type="dxa"/>
              <w:bottom w:w="150" w:type="dxa"/>
              <w:right w:w="240" w:type="dxa"/>
            </w:tcMar>
            <w:vAlign w:val="center"/>
          </w:tcPr>
          <w:p w14:paraId="3EC8D57F">
            <w:pPr>
              <w:widowControl/>
              <w:spacing w:line="520" w:lineRule="exact"/>
              <w:contextualSpacing/>
              <w:jc w:val="left"/>
              <w:rPr>
                <w:rFonts w:ascii="仿宋" w:hAnsi="仿宋" w:eastAsia="仿宋" w:cs="宋体"/>
                <w:kern w:val="0"/>
                <w:szCs w:val="21"/>
              </w:rPr>
            </w:pPr>
          </w:p>
        </w:tc>
        <w:tc>
          <w:tcPr>
            <w:tcW w:w="1404" w:type="dxa"/>
            <w:tcMar>
              <w:top w:w="150" w:type="dxa"/>
              <w:left w:w="240" w:type="dxa"/>
              <w:bottom w:w="150" w:type="dxa"/>
              <w:right w:w="240" w:type="dxa"/>
            </w:tcMar>
            <w:vAlign w:val="center"/>
          </w:tcPr>
          <w:p w14:paraId="39B33DF5">
            <w:pPr>
              <w:widowControl/>
              <w:spacing w:line="520" w:lineRule="exact"/>
              <w:contextualSpacing/>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符合 </w:t>
            </w:r>
          </w:p>
          <w:p w14:paraId="2C5CAB29">
            <w:pPr>
              <w:widowControl/>
              <w:spacing w:line="520" w:lineRule="exact"/>
              <w:contextualSpacing/>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不符合</w:t>
            </w:r>
          </w:p>
        </w:tc>
        <w:tc>
          <w:tcPr>
            <w:tcW w:w="3349" w:type="dxa"/>
            <w:tcMar>
              <w:top w:w="150" w:type="dxa"/>
              <w:left w:w="240" w:type="dxa"/>
              <w:bottom w:w="150" w:type="dxa"/>
              <w:right w:w="0" w:type="dxa"/>
            </w:tcMar>
            <w:vAlign w:val="center"/>
          </w:tcPr>
          <w:p w14:paraId="7A1EFE7C">
            <w:pPr>
              <w:widowControl/>
              <w:spacing w:line="520" w:lineRule="exact"/>
              <w:contextualSpacing/>
              <w:jc w:val="left"/>
              <w:rPr>
                <w:rFonts w:ascii="仿宋" w:hAnsi="仿宋" w:eastAsia="仿宋" w:cs="宋体"/>
                <w:kern w:val="0"/>
                <w:szCs w:val="21"/>
              </w:rPr>
            </w:pPr>
          </w:p>
        </w:tc>
      </w:tr>
      <w:tr w14:paraId="2D88667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0" w:type="auto"/>
            <w:tcMar>
              <w:top w:w="150" w:type="dxa"/>
              <w:left w:w="0" w:type="dxa"/>
              <w:bottom w:w="150" w:type="dxa"/>
              <w:right w:w="240" w:type="dxa"/>
            </w:tcMar>
            <w:vAlign w:val="center"/>
          </w:tcPr>
          <w:p w14:paraId="6BC83526">
            <w:pPr>
              <w:widowControl/>
              <w:spacing w:line="520" w:lineRule="exact"/>
              <w:contextualSpacing/>
              <w:jc w:val="left"/>
              <w:rPr>
                <w:rFonts w:ascii="仿宋" w:hAnsi="仿宋" w:eastAsia="仿宋" w:cs="宋体"/>
                <w:kern w:val="0"/>
                <w:szCs w:val="21"/>
              </w:rPr>
            </w:pPr>
            <w:r>
              <w:rPr>
                <w:rFonts w:ascii="仿宋" w:hAnsi="仿宋" w:eastAsia="仿宋" w:cs="宋体"/>
                <w:kern w:val="0"/>
                <w:szCs w:val="21"/>
              </w:rPr>
              <w:t>…</w:t>
            </w:r>
          </w:p>
        </w:tc>
        <w:tc>
          <w:tcPr>
            <w:tcW w:w="0" w:type="auto"/>
            <w:tcMar>
              <w:top w:w="150" w:type="dxa"/>
              <w:left w:w="240" w:type="dxa"/>
              <w:bottom w:w="150" w:type="dxa"/>
              <w:right w:w="240" w:type="dxa"/>
            </w:tcMar>
            <w:vAlign w:val="center"/>
          </w:tcPr>
          <w:p w14:paraId="7AABEB96">
            <w:pPr>
              <w:widowControl/>
              <w:spacing w:line="520" w:lineRule="exact"/>
              <w:contextualSpacing/>
              <w:jc w:val="left"/>
              <w:rPr>
                <w:rFonts w:ascii="仿宋" w:hAnsi="仿宋" w:eastAsia="仿宋" w:cs="宋体"/>
                <w:kern w:val="0"/>
                <w:szCs w:val="21"/>
              </w:rPr>
            </w:pPr>
            <w:r>
              <w:rPr>
                <w:rFonts w:ascii="仿宋" w:hAnsi="仿宋" w:eastAsia="仿宋" w:cs="宋体"/>
                <w:kern w:val="0"/>
                <w:szCs w:val="21"/>
              </w:rPr>
              <w:t>（可根据实际参选人数添加行）</w:t>
            </w:r>
          </w:p>
        </w:tc>
        <w:tc>
          <w:tcPr>
            <w:tcW w:w="1404" w:type="dxa"/>
            <w:tcMar>
              <w:top w:w="150" w:type="dxa"/>
              <w:left w:w="240" w:type="dxa"/>
              <w:bottom w:w="150" w:type="dxa"/>
              <w:right w:w="240" w:type="dxa"/>
            </w:tcMar>
            <w:vAlign w:val="center"/>
          </w:tcPr>
          <w:p w14:paraId="3079D234">
            <w:pPr>
              <w:widowControl/>
              <w:spacing w:line="520" w:lineRule="exact"/>
              <w:contextualSpacing/>
              <w:jc w:val="left"/>
              <w:rPr>
                <w:rFonts w:ascii="仿宋" w:hAnsi="仿宋" w:eastAsia="仿宋" w:cs="宋体"/>
                <w:kern w:val="0"/>
                <w:szCs w:val="21"/>
              </w:rPr>
            </w:pPr>
          </w:p>
        </w:tc>
        <w:tc>
          <w:tcPr>
            <w:tcW w:w="3349" w:type="dxa"/>
            <w:tcMar>
              <w:top w:w="150" w:type="dxa"/>
              <w:left w:w="240" w:type="dxa"/>
              <w:bottom w:w="150" w:type="dxa"/>
              <w:right w:w="0" w:type="dxa"/>
            </w:tcMar>
            <w:vAlign w:val="center"/>
          </w:tcPr>
          <w:p w14:paraId="4C81E058">
            <w:pPr>
              <w:widowControl/>
              <w:spacing w:line="520" w:lineRule="exact"/>
              <w:contextualSpacing/>
              <w:jc w:val="left"/>
              <w:rPr>
                <w:rFonts w:ascii="仿宋" w:hAnsi="仿宋" w:eastAsia="仿宋" w:cs="Times New Roman"/>
                <w:kern w:val="0"/>
                <w:szCs w:val="21"/>
              </w:rPr>
            </w:pPr>
          </w:p>
        </w:tc>
      </w:tr>
    </w:tbl>
    <w:p w14:paraId="64CEA1B0">
      <w:pPr>
        <w:widowControl/>
        <w:shd w:val="clear" w:color="auto" w:fill="FFFFFF"/>
        <w:spacing w:line="520" w:lineRule="exact"/>
        <w:contextualSpacing/>
        <w:jc w:val="left"/>
        <w:rPr>
          <w:rFonts w:ascii="仿宋" w:hAnsi="仿宋" w:eastAsia="仿宋" w:cs="Segoe UI"/>
          <w:color w:val="0F1115"/>
          <w:kern w:val="0"/>
          <w:szCs w:val="21"/>
        </w:rPr>
      </w:pPr>
      <w:r>
        <w:rPr>
          <w:rFonts w:ascii="仿宋" w:hAnsi="仿宋" w:eastAsia="仿宋" w:cs="Segoe UI"/>
          <w:bCs/>
          <w:color w:val="0F1115"/>
          <w:kern w:val="0"/>
          <w:szCs w:val="21"/>
        </w:rPr>
        <w:t>评审委员会确认：</w:t>
      </w:r>
      <w:r>
        <w:rPr>
          <w:rFonts w:ascii="仿宋" w:hAnsi="仿宋" w:eastAsia="仿宋" w:cs="Segoe UI"/>
          <w:color w:val="0F1115"/>
          <w:kern w:val="0"/>
          <w:szCs w:val="21"/>
        </w:rPr>
        <w:br w:type="textWrapping"/>
      </w:r>
      <w:r>
        <w:rPr>
          <w:rFonts w:ascii="仿宋" w:hAnsi="仿宋" w:eastAsia="仿宋" w:cs="Segoe UI"/>
          <w:color w:val="0F1115"/>
          <w:kern w:val="0"/>
          <w:szCs w:val="21"/>
        </w:rPr>
        <w:t>我们确认，已根据比选文件规定的符合性审查要求，对所有参选文件进行了审查，并依据评审原则形成上述总体结论。</w:t>
      </w:r>
    </w:p>
    <w:p w14:paraId="661DD652">
      <w:pPr>
        <w:widowControl/>
        <w:shd w:val="clear" w:color="auto" w:fill="FFFFFF"/>
        <w:spacing w:line="520" w:lineRule="exact"/>
        <w:contextualSpacing/>
        <w:jc w:val="left"/>
        <w:rPr>
          <w:rFonts w:ascii="仿宋" w:hAnsi="仿宋" w:eastAsia="仿宋" w:cs="Segoe UI"/>
          <w:color w:val="0F1115"/>
          <w:kern w:val="0"/>
          <w:szCs w:val="21"/>
        </w:rPr>
      </w:pPr>
      <w:r>
        <w:rPr>
          <w:rFonts w:ascii="仿宋" w:hAnsi="仿宋" w:eastAsia="仿宋" w:cs="Segoe UI"/>
          <w:color w:val="0F1115"/>
          <w:kern w:val="0"/>
          <w:szCs w:val="21"/>
        </w:rPr>
        <w:t>评审员（签字）：__________ __________ __________ __________</w:t>
      </w:r>
    </w:p>
    <w:p w14:paraId="2B26230E">
      <w:r>
        <w:rPr>
          <w:rFonts w:ascii="仿宋" w:hAnsi="仿宋" w:eastAsia="仿宋" w:cs="Segoe UI"/>
          <w:color w:val="0F1115"/>
          <w:kern w:val="0"/>
          <w:szCs w:val="21"/>
        </w:rPr>
        <w:t>日 期：__________年______月______日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Segoe UI Symbol">
    <w:panose1 w:val="020B0502040204020203"/>
    <w:charset w:val="00"/>
    <w:family w:val="swiss"/>
    <w:pitch w:val="default"/>
    <w:sig w:usb0="800001E3" w:usb1="1200FFEF" w:usb2="00040000" w:usb3="04000000" w:csb0="00000001" w:csb1="4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502BAE"/>
    <w:multiLevelType w:val="multilevel"/>
    <w:tmpl w:val="30502BAE"/>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44360F"/>
    <w:rsid w:val="314436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2026-04-16T05:24:00Z</dcterms:created>
  <dc:creator>Lyn</dc:creator>
  <cp:lastModifiedBy>Lyn</cp:lastModifiedBy>
  <dcterms:modified xsi:type="dcterms:W3CDTF">2026-04-16T05:25:20Z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54300DBD07D249A895B8D0664AE5001F_11</vt:lpwstr>
  </property>
  <property fmtid="{D5CDD505-2E9C-101B-9397-08002B2CF9AE}" pid="4" name="KSOTemplateDocerSaveRecord">
    <vt:lpwstr>eyJoZGlkIjoiMzI1NTc2YjM3YjBhNGRlYTk3YmY1YzQ4ZGRhMmI5ZWUiLCJ1c2VySWQiOiI0MzA1OTk4ODEifQ==</vt:lpwstr>
  </property>
</Properties>
</file>