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E79F4">
      <w:pPr>
        <w:widowControl/>
        <w:shd w:val="clear" w:color="auto" w:fill="FFFFFF"/>
        <w:spacing w:line="520" w:lineRule="exact"/>
        <w:contextualSpacing/>
        <w:rPr>
          <w:rFonts w:ascii="仿宋" w:hAnsi="仿宋" w:eastAsia="仿宋" w:cs="Segoe UI"/>
          <w:b/>
          <w:bCs/>
          <w:color w:val="auto"/>
          <w:sz w:val="32"/>
          <w:szCs w:val="32"/>
          <w:highlight w:val="none"/>
        </w:rPr>
      </w:pPr>
      <w:r>
        <w:rPr>
          <w:rFonts w:ascii="仿宋" w:hAnsi="仿宋" w:eastAsia="仿宋" w:cs="Segoe UI"/>
          <w:b/>
          <w:bCs/>
          <w:color w:val="auto"/>
          <w:sz w:val="32"/>
          <w:szCs w:val="32"/>
          <w:highlight w:val="none"/>
        </w:rPr>
        <w:t>附件</w:t>
      </w:r>
      <w:r>
        <w:rPr>
          <w:rFonts w:hint="eastAsia" w:ascii="仿宋" w:hAnsi="仿宋" w:eastAsia="仿宋" w:cs="Segoe UI"/>
          <w:b/>
          <w:bCs/>
          <w:color w:val="auto"/>
          <w:sz w:val="32"/>
          <w:szCs w:val="32"/>
          <w:highlight w:val="none"/>
        </w:rPr>
        <w:t>四</w:t>
      </w:r>
      <w:r>
        <w:rPr>
          <w:rFonts w:ascii="仿宋" w:hAnsi="仿宋" w:eastAsia="仿宋" w:cs="Segoe UI"/>
          <w:b/>
          <w:bCs/>
          <w:color w:val="auto"/>
          <w:sz w:val="32"/>
          <w:szCs w:val="32"/>
          <w:highlight w:val="none"/>
        </w:rPr>
        <w:t>：资格性审查表</w:t>
      </w:r>
    </w:p>
    <w:p w14:paraId="6E2C12DC">
      <w:pPr>
        <w:widowControl/>
        <w:shd w:val="clear" w:color="auto" w:fill="FFFFFF"/>
        <w:spacing w:line="520" w:lineRule="exact"/>
        <w:contextualSpacing/>
        <w:rPr>
          <w:rFonts w:ascii="仿宋" w:hAnsi="仿宋" w:eastAsia="仿宋" w:cs="Segoe UI"/>
          <w:bCs/>
          <w:color w:val="auto"/>
          <w:sz w:val="24"/>
          <w:szCs w:val="24"/>
          <w:highlight w:val="none"/>
        </w:rPr>
      </w:pPr>
      <w:r>
        <w:rPr>
          <w:rFonts w:ascii="仿宋" w:hAnsi="仿宋" w:eastAsia="仿宋" w:cs="Segoe UI"/>
          <w:bCs/>
          <w:color w:val="auto"/>
          <w:sz w:val="24"/>
          <w:szCs w:val="24"/>
          <w:highlight w:val="none"/>
          <w:shd w:val="clear" w:color="auto" w:fill="FFFFFF"/>
        </w:rPr>
        <w:t>项目名称：</w:t>
      </w:r>
      <w:r>
        <w:rPr>
          <w:rFonts w:eastAsia="仿宋" w:cs="Calibri"/>
          <w:color w:val="auto"/>
          <w:sz w:val="24"/>
          <w:szCs w:val="24"/>
          <w:highlight w:val="none"/>
          <w:shd w:val="clear" w:color="auto" w:fill="FFFFFF"/>
        </w:rPr>
        <w:t> </w:t>
      </w:r>
      <w:r>
        <w:rPr>
          <w:rFonts w:hint="eastAsia" w:ascii="仿宋" w:hAnsi="仿宋" w:eastAsia="仿宋" w:cs="Segoe UI"/>
          <w:color w:val="auto"/>
          <w:sz w:val="24"/>
          <w:szCs w:val="24"/>
          <w:highlight w:val="none"/>
          <w:u w:val="single"/>
          <w:shd w:val="clear" w:color="auto" w:fill="FFFFFF"/>
        </w:rPr>
        <w:t xml:space="preserve"> </w:t>
      </w:r>
      <w:r>
        <w:rPr>
          <w:rFonts w:ascii="仿宋" w:hAnsi="仿宋" w:eastAsia="仿宋" w:cs="Segoe UI"/>
          <w:color w:val="auto"/>
          <w:sz w:val="24"/>
          <w:szCs w:val="24"/>
          <w:highlight w:val="none"/>
          <w:u w:val="single"/>
          <w:shd w:val="clear" w:color="auto" w:fill="FFFFFF"/>
        </w:rPr>
        <w:t xml:space="preserve">                                               </w:t>
      </w:r>
      <w:r>
        <w:rPr>
          <w:rFonts w:ascii="仿宋" w:hAnsi="仿宋" w:eastAsia="仿宋" w:cs="Segoe UI"/>
          <w:color w:val="auto"/>
          <w:sz w:val="24"/>
          <w:szCs w:val="24"/>
          <w:highlight w:val="none"/>
          <w:shd w:val="clear" w:color="auto" w:fill="FFFFFF"/>
        </w:rPr>
        <w:t>服务项目</w:t>
      </w:r>
    </w:p>
    <w:p w14:paraId="5DCE66CC">
      <w:pPr>
        <w:pStyle w:val="4"/>
        <w:shd w:val="clear" w:color="auto" w:fill="FFFFFF"/>
        <w:spacing w:before="0" w:beforeAutospacing="0" w:after="0" w:afterAutospacing="0" w:line="520" w:lineRule="exact"/>
        <w:contextualSpacing/>
        <w:rPr>
          <w:rFonts w:ascii="仿宋" w:hAnsi="仿宋" w:eastAsia="仿宋" w:cs="Segoe UI"/>
          <w:color w:val="auto"/>
          <w:highlight w:val="none"/>
        </w:rPr>
      </w:pPr>
      <w:r>
        <w:rPr>
          <w:rFonts w:ascii="仿宋" w:hAnsi="仿宋" w:eastAsia="仿宋" w:cs="Segoe UI"/>
          <w:bCs/>
          <w:color w:val="auto"/>
          <w:highlight w:val="none"/>
        </w:rPr>
        <w:t>评审原则：</w:t>
      </w:r>
      <w:r>
        <w:rPr>
          <w:rFonts w:ascii="Calibri" w:hAnsi="Calibri" w:eastAsia="仿宋" w:cs="Calibri"/>
          <w:color w:val="auto"/>
          <w:highlight w:val="none"/>
        </w:rPr>
        <w:t> </w:t>
      </w:r>
      <w:r>
        <w:rPr>
          <w:rFonts w:ascii="仿宋" w:hAnsi="仿宋" w:eastAsia="仿宋" w:cs="Segoe UI"/>
          <w:color w:val="auto"/>
          <w:highlight w:val="none"/>
        </w:rPr>
        <w:t>以下</w:t>
      </w:r>
      <w:r>
        <w:rPr>
          <w:rFonts w:hint="eastAsia" w:ascii="仿宋" w:hAnsi="仿宋" w:eastAsia="仿宋" w:cs="Segoe UI"/>
          <w:color w:val="auto"/>
          <w:highlight w:val="none"/>
        </w:rPr>
        <w:t>九</w:t>
      </w:r>
      <w:r>
        <w:rPr>
          <w:rFonts w:ascii="仿宋" w:hAnsi="仿宋" w:eastAsia="仿宋" w:cs="Segoe UI"/>
          <w:color w:val="auto"/>
          <w:highlight w:val="none"/>
        </w:rPr>
        <w:t>项审查中，任一参选人有任一项结论为“不通过”，则其资格性审查总体结论为“不通过”，不得进入后续评审。</w:t>
      </w:r>
    </w:p>
    <w:tbl>
      <w:tblPr>
        <w:tblStyle w:val="2"/>
        <w:tblW w:w="5833" w:type="pct"/>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695"/>
        <w:gridCol w:w="7405"/>
      </w:tblGrid>
      <w:tr w14:paraId="0D48A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14:paraId="183A4A10">
            <w:pPr>
              <w:tabs>
                <w:tab w:val="left" w:pos="1080"/>
              </w:tabs>
              <w:snapToGrid w:val="0"/>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序号</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A48D8A5">
            <w:pPr>
              <w:tabs>
                <w:tab w:val="left" w:pos="1080"/>
              </w:tabs>
              <w:snapToGrid w:val="0"/>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检查因素</w:t>
            </w:r>
          </w:p>
        </w:tc>
        <w:tc>
          <w:tcPr>
            <w:tcW w:w="7405" w:type="dxa"/>
            <w:tcBorders>
              <w:top w:val="single" w:color="000000" w:sz="4" w:space="0"/>
              <w:left w:val="single" w:color="000000" w:sz="4" w:space="0"/>
              <w:bottom w:val="single" w:color="000000" w:sz="4" w:space="0"/>
              <w:right w:val="single" w:color="000000" w:sz="4" w:space="0"/>
            </w:tcBorders>
            <w:noWrap w:val="0"/>
            <w:vAlign w:val="center"/>
          </w:tcPr>
          <w:p w14:paraId="5609683F">
            <w:pPr>
              <w:tabs>
                <w:tab w:val="left" w:pos="1080"/>
              </w:tabs>
              <w:snapToGrid w:val="0"/>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检查内容</w:t>
            </w:r>
          </w:p>
        </w:tc>
      </w:tr>
      <w:tr w14:paraId="4D5B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14:paraId="6AD09BA7">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800B245">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营业执照等证明文件</w:t>
            </w:r>
          </w:p>
        </w:tc>
        <w:tc>
          <w:tcPr>
            <w:tcW w:w="7405" w:type="dxa"/>
            <w:tcBorders>
              <w:top w:val="single" w:color="000000" w:sz="4" w:space="0"/>
              <w:left w:val="single" w:color="000000" w:sz="4" w:space="0"/>
              <w:bottom w:val="single" w:color="000000" w:sz="4" w:space="0"/>
              <w:right w:val="single" w:color="000000" w:sz="4" w:space="0"/>
            </w:tcBorders>
            <w:noWrap w:val="0"/>
            <w:vAlign w:val="center"/>
          </w:tcPr>
          <w:p w14:paraId="45EF9148">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供应商为企业（包括合伙企业）的，应提供有效的“营业执照”；</w:t>
            </w:r>
          </w:p>
          <w:p w14:paraId="4739D229">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供应商为事业单位的，应提供有效的“事业单位法人证书”；</w:t>
            </w:r>
          </w:p>
          <w:p w14:paraId="10452B99">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供应商是非企业机构的，应提供有效的“执业许可证”、“登记证书”等证明文件；</w:t>
            </w:r>
          </w:p>
          <w:p w14:paraId="348CF63D">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供应商是个体工商户的，应提供有效的“个体工商户营业执照”；</w:t>
            </w:r>
          </w:p>
          <w:p w14:paraId="77097198">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供应商是自然人的，应提供有效的自然人身份证明。</w:t>
            </w:r>
          </w:p>
          <w:p w14:paraId="01B62B6B">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7DC8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14:paraId="18DF1D55">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A910ABF">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供应商比选前承诺书</w:t>
            </w:r>
          </w:p>
        </w:tc>
        <w:tc>
          <w:tcPr>
            <w:tcW w:w="7405" w:type="dxa"/>
            <w:tcBorders>
              <w:top w:val="single" w:color="000000" w:sz="4" w:space="0"/>
              <w:left w:val="single" w:color="000000" w:sz="4" w:space="0"/>
              <w:bottom w:val="single" w:color="000000" w:sz="4" w:space="0"/>
              <w:right w:val="single" w:color="000000" w:sz="4" w:space="0"/>
            </w:tcBorders>
            <w:noWrap w:val="0"/>
            <w:vAlign w:val="center"/>
          </w:tcPr>
          <w:p w14:paraId="30BBBCD1">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提供了符合比选文件要求的《比选前承诺书》。</w:t>
            </w:r>
          </w:p>
        </w:tc>
      </w:tr>
      <w:tr w14:paraId="4D07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14:paraId="765C1545">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DE9106F">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供应商资格声明书</w:t>
            </w:r>
          </w:p>
        </w:tc>
        <w:tc>
          <w:tcPr>
            <w:tcW w:w="7405" w:type="dxa"/>
            <w:tcBorders>
              <w:top w:val="single" w:color="000000" w:sz="4" w:space="0"/>
              <w:left w:val="single" w:color="000000" w:sz="4" w:space="0"/>
              <w:bottom w:val="single" w:color="000000" w:sz="4" w:space="0"/>
              <w:right w:val="single" w:color="000000" w:sz="4" w:space="0"/>
            </w:tcBorders>
            <w:noWrap w:val="0"/>
            <w:vAlign w:val="center"/>
          </w:tcPr>
          <w:p w14:paraId="28676D94">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提供了符合比选文件要求的《供应商资格声明书》。</w:t>
            </w:r>
          </w:p>
        </w:tc>
      </w:tr>
      <w:tr w14:paraId="50C31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14:paraId="14809E14">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82FA13F">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信誉要求</w:t>
            </w:r>
          </w:p>
        </w:tc>
        <w:tc>
          <w:tcPr>
            <w:tcW w:w="7405" w:type="dxa"/>
            <w:tcBorders>
              <w:top w:val="single" w:color="000000" w:sz="4" w:space="0"/>
              <w:left w:val="single" w:color="000000" w:sz="4" w:space="0"/>
              <w:bottom w:val="single" w:color="000000" w:sz="4" w:space="0"/>
              <w:right w:val="single" w:color="000000" w:sz="4" w:space="0"/>
            </w:tcBorders>
            <w:noWrap w:val="0"/>
            <w:vAlign w:val="center"/>
          </w:tcPr>
          <w:p w14:paraId="5FD4495C">
            <w:pPr>
              <w:tabs>
                <w:tab w:val="left" w:pos="1080"/>
              </w:tabs>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1）参加本次比选活动前三年内，在经营活动中无重大违法记录（须提供加盖公章的书面声明）。</w:t>
            </w:r>
          </w:p>
          <w:p w14:paraId="541F64DB">
            <w:pPr>
              <w:tabs>
                <w:tab w:val="left" w:pos="1080"/>
              </w:tabs>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2）在“信用中国”网站（www.creditchina.gov.cn）未被列入失信被执行人、重大税收违法案件当事人名单及政府采购严重违法失信行为记录名单（须提供公告发布日后查询结果的网页截图并加盖公章）。</w:t>
            </w:r>
          </w:p>
          <w:p w14:paraId="195FF4AD">
            <w:pPr>
              <w:tabs>
                <w:tab w:val="left" w:pos="1080"/>
              </w:tabs>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3）在“中国政府采购网”（www.ccgp.gov.cn）未被列入政府采购严重违法失信行为记录名单（处罚期限尚未届满的）（须提供公告发布日后查询结果的网页截图并加盖公章）。</w:t>
            </w:r>
          </w:p>
        </w:tc>
      </w:tr>
      <w:tr w14:paraId="7163A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14:paraId="385304EB">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71EE9B1">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法定资质</w:t>
            </w:r>
          </w:p>
        </w:tc>
        <w:tc>
          <w:tcPr>
            <w:tcW w:w="7405" w:type="dxa"/>
            <w:tcBorders>
              <w:top w:val="single" w:color="000000" w:sz="4" w:space="0"/>
              <w:left w:val="single" w:color="000000" w:sz="4" w:space="0"/>
              <w:bottom w:val="single" w:color="000000" w:sz="4" w:space="0"/>
              <w:right w:val="single" w:color="000000" w:sz="4" w:space="0"/>
            </w:tcBorders>
            <w:noWrap w:val="0"/>
            <w:vAlign w:val="center"/>
          </w:tcPr>
          <w:p w14:paraId="30D92DE9">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具有履行合同所必需的</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能力。须提供加盖公章的书面声明（格式自拟）。</w:t>
            </w:r>
          </w:p>
        </w:tc>
      </w:tr>
      <w:tr w14:paraId="6B21B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14:paraId="1161E0FB">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6</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3A054E2">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业绩要求</w:t>
            </w:r>
          </w:p>
        </w:tc>
        <w:tc>
          <w:tcPr>
            <w:tcW w:w="7405" w:type="dxa"/>
            <w:tcBorders>
              <w:top w:val="single" w:color="000000" w:sz="4" w:space="0"/>
              <w:left w:val="single" w:color="000000" w:sz="4" w:space="0"/>
              <w:bottom w:val="single" w:color="000000" w:sz="4" w:space="0"/>
              <w:right w:val="single" w:color="000000" w:sz="4" w:space="0"/>
            </w:tcBorders>
            <w:noWrap w:val="0"/>
            <w:vAlign w:val="center"/>
          </w:tcPr>
          <w:p w14:paraId="2084DE6A">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须提供自本比选公告发布之日前三年内至少独立完成</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个及以上</w:t>
            </w:r>
            <w:r>
              <w:rPr>
                <w:rFonts w:hint="eastAsia" w:ascii="仿宋" w:hAnsi="仿宋" w:eastAsia="仿宋"/>
                <w:color w:val="auto"/>
                <w:sz w:val="24"/>
                <w:szCs w:val="24"/>
                <w:highlight w:val="none"/>
                <w:u w:val="single"/>
              </w:rPr>
              <w:t>期刊稿件采编系统</w:t>
            </w:r>
            <w:r>
              <w:rPr>
                <w:rFonts w:hint="eastAsia" w:ascii="仿宋" w:hAnsi="仿宋" w:eastAsia="仿宋"/>
                <w:color w:val="auto"/>
                <w:sz w:val="24"/>
                <w:szCs w:val="24"/>
                <w:highlight w:val="none"/>
              </w:rPr>
              <w:t>服务项目。须提供合同关键页（至少包含合同封面、服务内容页、合同金额页、双方签字盖章页）及对应的服务验收证明或结算凭证复印件。</w:t>
            </w:r>
          </w:p>
        </w:tc>
      </w:tr>
      <w:tr w14:paraId="76DDE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14:paraId="0C9DA6C1">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7</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086C861">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人员要求</w:t>
            </w:r>
          </w:p>
        </w:tc>
        <w:tc>
          <w:tcPr>
            <w:tcW w:w="7405" w:type="dxa"/>
            <w:tcBorders>
              <w:top w:val="single" w:color="000000" w:sz="4" w:space="0"/>
              <w:left w:val="single" w:color="000000" w:sz="4" w:space="0"/>
              <w:bottom w:val="single" w:color="000000" w:sz="4" w:space="0"/>
              <w:right w:val="single" w:color="000000" w:sz="4" w:space="0"/>
            </w:tcBorders>
            <w:noWrap w:val="0"/>
            <w:vAlign w:val="center"/>
          </w:tcPr>
          <w:p w14:paraId="0EDED833">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拟派项目负责人须具备以下至少一项有效证书（提供证书复印件）：</w:t>
            </w:r>
            <w:r>
              <w:rPr>
                <w:rFonts w:hint="eastAsia" w:ascii="仿宋" w:hAnsi="仿宋" w:eastAsia="仿宋"/>
                <w:color w:val="auto"/>
                <w:sz w:val="24"/>
                <w:szCs w:val="24"/>
                <w:highlight w:val="none"/>
                <w:u w:val="single"/>
                <w:lang w:val="en-US" w:eastAsia="zh-CN"/>
              </w:rPr>
              <w:t xml:space="preserve">无 </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tc>
      </w:tr>
      <w:tr w14:paraId="1683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14:paraId="1445AB6C">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DC7D8AE">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本项目的其他特定资格要求</w:t>
            </w:r>
          </w:p>
        </w:tc>
        <w:tc>
          <w:tcPr>
            <w:tcW w:w="7405" w:type="dxa"/>
            <w:tcBorders>
              <w:top w:val="single" w:color="000000" w:sz="4" w:space="0"/>
              <w:left w:val="single" w:color="000000" w:sz="4" w:space="0"/>
              <w:bottom w:val="single" w:color="000000" w:sz="4" w:space="0"/>
              <w:right w:val="single" w:color="000000" w:sz="4" w:space="0"/>
            </w:tcBorders>
            <w:noWrap w:val="0"/>
            <w:vAlign w:val="center"/>
          </w:tcPr>
          <w:p w14:paraId="4809E010">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如有，详见二、投标人的资格要求，提供证明文件的电子件或电子证照。</w:t>
            </w:r>
            <w:bookmarkStart w:id="0" w:name="_GoBack"/>
            <w:bookmarkEnd w:id="0"/>
          </w:p>
        </w:tc>
      </w:tr>
      <w:tr w14:paraId="52B51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14:paraId="589CF802">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7BE7FF5">
            <w:pPr>
              <w:tabs>
                <w:tab w:val="left" w:pos="1080"/>
              </w:tabs>
              <w:snapToGrid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法律、行政法规规定的其他条件（如有）</w:t>
            </w:r>
          </w:p>
        </w:tc>
        <w:tc>
          <w:tcPr>
            <w:tcW w:w="7405" w:type="dxa"/>
            <w:tcBorders>
              <w:top w:val="single" w:color="000000" w:sz="4" w:space="0"/>
              <w:left w:val="single" w:color="000000" w:sz="4" w:space="0"/>
              <w:bottom w:val="single" w:color="000000" w:sz="4" w:space="0"/>
              <w:right w:val="single" w:color="000000" w:sz="4" w:space="0"/>
            </w:tcBorders>
            <w:noWrap w:val="0"/>
            <w:vAlign w:val="center"/>
          </w:tcPr>
          <w:p w14:paraId="677ADFF3">
            <w:pPr>
              <w:tabs>
                <w:tab w:val="left" w:pos="1080"/>
              </w:tabs>
              <w:snapToGrid w:val="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法律、行政法规规定的其他条件</w:t>
            </w:r>
          </w:p>
        </w:tc>
      </w:tr>
    </w:tbl>
    <w:p w14:paraId="172D187A">
      <w:pPr>
        <w:widowControl/>
        <w:shd w:val="clear" w:color="auto" w:fill="FFFFFF"/>
        <w:spacing w:line="520" w:lineRule="exact"/>
        <w:contextualSpacing/>
        <w:jc w:val="left"/>
        <w:rPr>
          <w:rFonts w:ascii="仿宋" w:hAnsi="仿宋" w:eastAsia="仿宋" w:cs="Segoe UI"/>
          <w:color w:val="auto"/>
          <w:kern w:val="0"/>
          <w:szCs w:val="21"/>
          <w:highlight w:val="none"/>
        </w:rPr>
      </w:pPr>
      <w:r>
        <w:rPr>
          <w:rFonts w:ascii="仿宋" w:hAnsi="仿宋" w:eastAsia="仿宋" w:cs="Segoe UI"/>
          <w:bCs/>
          <w:color w:val="auto"/>
          <w:kern w:val="0"/>
          <w:szCs w:val="21"/>
          <w:highlight w:val="none"/>
        </w:rPr>
        <w:t>资格性审查总体结论记录表</w:t>
      </w:r>
    </w:p>
    <w:p w14:paraId="1B8D3FE8">
      <w:pPr>
        <w:widowControl/>
        <w:shd w:val="clear" w:color="auto" w:fill="FFFFFF"/>
        <w:spacing w:line="520" w:lineRule="exact"/>
        <w:contextualSpacing/>
        <w:jc w:val="left"/>
        <w:rPr>
          <w:rFonts w:ascii="仿宋" w:hAnsi="仿宋" w:eastAsia="仿宋" w:cs="Segoe UI"/>
          <w:color w:val="auto"/>
          <w:kern w:val="0"/>
          <w:szCs w:val="21"/>
          <w:highlight w:val="none"/>
        </w:rPr>
      </w:pPr>
      <w:r>
        <w:rPr>
          <w:rFonts w:ascii="仿宋" w:hAnsi="仿宋" w:eastAsia="仿宋" w:cs="Segoe UI"/>
          <w:bCs/>
          <w:color w:val="auto"/>
          <w:kern w:val="0"/>
          <w:szCs w:val="21"/>
          <w:highlight w:val="none"/>
        </w:rPr>
        <w:t>评审员填写指引：</w:t>
      </w:r>
    </w:p>
    <w:p w14:paraId="0315251B">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auto"/>
          <w:kern w:val="0"/>
          <w:szCs w:val="21"/>
          <w:highlight w:val="none"/>
        </w:rPr>
      </w:pPr>
      <w:r>
        <w:rPr>
          <w:rFonts w:ascii="仿宋" w:hAnsi="仿宋" w:eastAsia="仿宋" w:cs="Segoe UI"/>
          <w:color w:val="auto"/>
          <w:kern w:val="0"/>
          <w:szCs w:val="21"/>
          <w:highlight w:val="none"/>
        </w:rPr>
        <w:t>请根据上表对每家参选人进行逐项审查，并在评审会议记录中载明各分项结论。</w:t>
      </w:r>
    </w:p>
    <w:p w14:paraId="6FF01F07">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auto"/>
          <w:kern w:val="0"/>
          <w:szCs w:val="21"/>
          <w:highlight w:val="none"/>
        </w:rPr>
      </w:pPr>
      <w:r>
        <w:rPr>
          <w:rFonts w:ascii="仿宋" w:hAnsi="仿宋" w:eastAsia="仿宋" w:cs="Segoe UI"/>
          <w:color w:val="auto"/>
          <w:kern w:val="0"/>
          <w:szCs w:val="21"/>
          <w:highlight w:val="none"/>
        </w:rPr>
        <w:t>完成逐项审查后，根据评审原则（有一项不通过则总体不通过），在本表记录总体结论。</w:t>
      </w:r>
    </w:p>
    <w:p w14:paraId="0BAE539A">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auto"/>
          <w:kern w:val="0"/>
          <w:szCs w:val="21"/>
          <w:highlight w:val="none"/>
        </w:rPr>
      </w:pPr>
      <w:r>
        <w:rPr>
          <w:rFonts w:ascii="仿宋" w:hAnsi="仿宋" w:eastAsia="仿宋" w:cs="Segoe UI"/>
          <w:color w:val="auto"/>
          <w:kern w:val="0"/>
          <w:szCs w:val="21"/>
          <w:highlight w:val="none"/>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30B3B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noWrap w:val="0"/>
            <w:tcMar>
              <w:top w:w="150" w:type="dxa"/>
              <w:left w:w="0" w:type="dxa"/>
              <w:bottom w:w="150" w:type="dxa"/>
              <w:right w:w="240" w:type="dxa"/>
            </w:tcMar>
            <w:vAlign w:val="center"/>
          </w:tcPr>
          <w:p w14:paraId="33A695BA">
            <w:pPr>
              <w:widowControl/>
              <w:spacing w:line="520" w:lineRule="exact"/>
              <w:contextualSpacing/>
              <w:jc w:val="left"/>
              <w:rPr>
                <w:rFonts w:ascii="仿宋" w:hAnsi="仿宋" w:eastAsia="仿宋" w:cs="宋体"/>
                <w:bCs/>
                <w:color w:val="auto"/>
                <w:kern w:val="0"/>
                <w:szCs w:val="21"/>
                <w:highlight w:val="none"/>
              </w:rPr>
            </w:pPr>
            <w:r>
              <w:rPr>
                <w:rFonts w:ascii="仿宋" w:hAnsi="仿宋" w:eastAsia="仿宋" w:cs="宋体"/>
                <w:bCs/>
                <w:color w:val="auto"/>
                <w:kern w:val="0"/>
                <w:szCs w:val="21"/>
                <w:highlight w:val="none"/>
              </w:rPr>
              <w:t>序号</w:t>
            </w:r>
          </w:p>
        </w:tc>
        <w:tc>
          <w:tcPr>
            <w:tcW w:w="3828" w:type="dxa"/>
            <w:noWrap w:val="0"/>
            <w:tcMar>
              <w:top w:w="150" w:type="dxa"/>
              <w:left w:w="240" w:type="dxa"/>
              <w:bottom w:w="150" w:type="dxa"/>
              <w:right w:w="240" w:type="dxa"/>
            </w:tcMar>
            <w:vAlign w:val="center"/>
          </w:tcPr>
          <w:p w14:paraId="00400478">
            <w:pPr>
              <w:widowControl/>
              <w:spacing w:line="520" w:lineRule="exact"/>
              <w:contextualSpacing/>
              <w:jc w:val="left"/>
              <w:rPr>
                <w:rFonts w:ascii="仿宋" w:hAnsi="仿宋" w:eastAsia="仿宋" w:cs="宋体"/>
                <w:bCs/>
                <w:color w:val="auto"/>
                <w:kern w:val="0"/>
                <w:szCs w:val="21"/>
                <w:highlight w:val="none"/>
              </w:rPr>
            </w:pPr>
            <w:r>
              <w:rPr>
                <w:rFonts w:ascii="仿宋" w:hAnsi="仿宋" w:eastAsia="仿宋" w:cs="宋体"/>
                <w:bCs/>
                <w:color w:val="auto"/>
                <w:kern w:val="0"/>
                <w:szCs w:val="21"/>
                <w:highlight w:val="none"/>
              </w:rPr>
              <w:t>参选人名称</w:t>
            </w:r>
          </w:p>
        </w:tc>
        <w:tc>
          <w:tcPr>
            <w:tcW w:w="1842" w:type="dxa"/>
            <w:noWrap w:val="0"/>
            <w:tcMar>
              <w:top w:w="150" w:type="dxa"/>
              <w:left w:w="240" w:type="dxa"/>
              <w:bottom w:w="150" w:type="dxa"/>
              <w:right w:w="240" w:type="dxa"/>
            </w:tcMar>
            <w:vAlign w:val="center"/>
          </w:tcPr>
          <w:p w14:paraId="4C91981E">
            <w:pPr>
              <w:widowControl/>
              <w:spacing w:line="520" w:lineRule="exact"/>
              <w:contextualSpacing/>
              <w:jc w:val="left"/>
              <w:rPr>
                <w:rFonts w:ascii="仿宋" w:hAnsi="仿宋" w:eastAsia="仿宋" w:cs="宋体"/>
                <w:bCs/>
                <w:color w:val="auto"/>
                <w:kern w:val="0"/>
                <w:szCs w:val="21"/>
                <w:highlight w:val="none"/>
              </w:rPr>
            </w:pPr>
            <w:r>
              <w:rPr>
                <w:rFonts w:ascii="仿宋" w:hAnsi="仿宋" w:eastAsia="仿宋" w:cs="宋体"/>
                <w:bCs/>
                <w:color w:val="auto"/>
                <w:kern w:val="0"/>
                <w:szCs w:val="21"/>
                <w:highlight w:val="none"/>
              </w:rPr>
              <w:t>总体审查结论</w:t>
            </w:r>
          </w:p>
        </w:tc>
        <w:tc>
          <w:tcPr>
            <w:tcW w:w="3402" w:type="dxa"/>
            <w:noWrap w:val="0"/>
            <w:tcMar>
              <w:top w:w="150" w:type="dxa"/>
              <w:left w:w="240" w:type="dxa"/>
              <w:bottom w:w="150" w:type="dxa"/>
              <w:right w:w="240" w:type="dxa"/>
            </w:tcMar>
            <w:vAlign w:val="center"/>
          </w:tcPr>
          <w:p w14:paraId="7D993526">
            <w:pPr>
              <w:widowControl/>
              <w:spacing w:line="520" w:lineRule="exact"/>
              <w:contextualSpacing/>
              <w:jc w:val="left"/>
              <w:rPr>
                <w:rFonts w:ascii="仿宋" w:hAnsi="仿宋" w:eastAsia="仿宋" w:cs="宋体"/>
                <w:bCs/>
                <w:color w:val="auto"/>
                <w:kern w:val="0"/>
                <w:szCs w:val="21"/>
                <w:highlight w:val="none"/>
              </w:rPr>
            </w:pPr>
            <w:r>
              <w:rPr>
                <w:rFonts w:ascii="仿宋" w:hAnsi="仿宋" w:eastAsia="仿宋" w:cs="宋体"/>
                <w:bCs/>
                <w:color w:val="auto"/>
                <w:kern w:val="0"/>
                <w:szCs w:val="21"/>
                <w:highlight w:val="none"/>
              </w:rPr>
              <w:t>不通过原因说明 (仅当结论为“不通过”时填写)</w:t>
            </w:r>
          </w:p>
        </w:tc>
      </w:tr>
      <w:tr w14:paraId="7C3C5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noWrap w:val="0"/>
            <w:tcMar>
              <w:top w:w="150" w:type="dxa"/>
              <w:left w:w="0" w:type="dxa"/>
              <w:bottom w:w="150" w:type="dxa"/>
              <w:right w:w="240" w:type="dxa"/>
            </w:tcMar>
            <w:vAlign w:val="center"/>
          </w:tcPr>
          <w:p w14:paraId="71AACD6C">
            <w:pPr>
              <w:widowControl/>
              <w:spacing w:line="520" w:lineRule="exact"/>
              <w:contextualSpacing/>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1</w:t>
            </w:r>
          </w:p>
        </w:tc>
        <w:tc>
          <w:tcPr>
            <w:tcW w:w="3828" w:type="dxa"/>
            <w:noWrap w:val="0"/>
            <w:tcMar>
              <w:top w:w="150" w:type="dxa"/>
              <w:left w:w="240" w:type="dxa"/>
              <w:bottom w:w="150" w:type="dxa"/>
              <w:right w:w="240" w:type="dxa"/>
            </w:tcMar>
            <w:vAlign w:val="center"/>
          </w:tcPr>
          <w:p w14:paraId="6AB43D4B">
            <w:pPr>
              <w:widowControl/>
              <w:spacing w:line="520" w:lineRule="exact"/>
              <w:contextualSpacing/>
              <w:jc w:val="left"/>
              <w:rPr>
                <w:rFonts w:ascii="仿宋" w:hAnsi="仿宋" w:eastAsia="仿宋" w:cs="宋体"/>
                <w:color w:val="auto"/>
                <w:kern w:val="0"/>
                <w:szCs w:val="21"/>
                <w:highlight w:val="none"/>
              </w:rPr>
            </w:pPr>
          </w:p>
        </w:tc>
        <w:tc>
          <w:tcPr>
            <w:tcW w:w="1842" w:type="dxa"/>
            <w:noWrap w:val="0"/>
            <w:tcMar>
              <w:top w:w="150" w:type="dxa"/>
              <w:left w:w="240" w:type="dxa"/>
              <w:bottom w:w="150" w:type="dxa"/>
              <w:right w:w="240" w:type="dxa"/>
            </w:tcMar>
            <w:vAlign w:val="center"/>
          </w:tcPr>
          <w:p w14:paraId="3078E706">
            <w:pPr>
              <w:widowControl/>
              <w:spacing w:line="520" w:lineRule="exact"/>
              <w:contextualSpacing/>
              <w:jc w:val="left"/>
              <w:rPr>
                <w:rFonts w:ascii="仿宋" w:hAnsi="仿宋" w:eastAsia="仿宋" w:cs="宋体"/>
                <w:color w:val="auto"/>
                <w:kern w:val="0"/>
                <w:szCs w:val="21"/>
                <w:highlight w:val="none"/>
              </w:rPr>
            </w:pPr>
            <w:r>
              <w:rPr>
                <w:rFonts w:ascii="Segoe UI Symbol" w:hAnsi="Segoe UI Symbol" w:eastAsia="仿宋" w:cs="Segoe UI Symbol"/>
                <w:color w:val="auto"/>
                <w:kern w:val="0"/>
                <w:szCs w:val="21"/>
                <w:highlight w:val="none"/>
              </w:rPr>
              <w:t>☐</w:t>
            </w:r>
            <w:r>
              <w:rPr>
                <w:rFonts w:ascii="仿宋" w:hAnsi="仿宋" w:eastAsia="仿宋" w:cs="宋体"/>
                <w:color w:val="auto"/>
                <w:kern w:val="0"/>
                <w:szCs w:val="21"/>
                <w:highlight w:val="none"/>
              </w:rPr>
              <w:t xml:space="preserve"> 通过 </w:t>
            </w:r>
          </w:p>
          <w:p w14:paraId="36A3037B">
            <w:pPr>
              <w:widowControl/>
              <w:spacing w:line="520" w:lineRule="exact"/>
              <w:contextualSpacing/>
              <w:jc w:val="left"/>
              <w:rPr>
                <w:rFonts w:ascii="仿宋" w:hAnsi="仿宋" w:eastAsia="仿宋" w:cs="宋体"/>
                <w:color w:val="auto"/>
                <w:kern w:val="0"/>
                <w:szCs w:val="21"/>
                <w:highlight w:val="none"/>
              </w:rPr>
            </w:pPr>
            <w:r>
              <w:rPr>
                <w:rFonts w:ascii="Segoe UI Symbol" w:hAnsi="Segoe UI Symbol" w:eastAsia="仿宋" w:cs="Segoe UI Symbol"/>
                <w:color w:val="auto"/>
                <w:kern w:val="0"/>
                <w:szCs w:val="21"/>
                <w:highlight w:val="none"/>
              </w:rPr>
              <w:t>☐</w:t>
            </w:r>
            <w:r>
              <w:rPr>
                <w:rFonts w:ascii="仿宋" w:hAnsi="仿宋" w:eastAsia="仿宋" w:cs="宋体"/>
                <w:color w:val="auto"/>
                <w:kern w:val="0"/>
                <w:szCs w:val="21"/>
                <w:highlight w:val="none"/>
              </w:rPr>
              <w:t xml:space="preserve"> 不通过</w:t>
            </w:r>
          </w:p>
        </w:tc>
        <w:tc>
          <w:tcPr>
            <w:tcW w:w="3402" w:type="dxa"/>
            <w:noWrap w:val="0"/>
            <w:tcMar>
              <w:top w:w="150" w:type="dxa"/>
              <w:left w:w="240" w:type="dxa"/>
              <w:bottom w:w="150" w:type="dxa"/>
              <w:right w:w="0" w:type="dxa"/>
            </w:tcMar>
            <w:vAlign w:val="center"/>
          </w:tcPr>
          <w:p w14:paraId="5E6CC253">
            <w:pPr>
              <w:widowControl/>
              <w:spacing w:line="520" w:lineRule="exact"/>
              <w:contextualSpacing/>
              <w:jc w:val="left"/>
              <w:rPr>
                <w:rFonts w:ascii="仿宋" w:hAnsi="仿宋" w:eastAsia="仿宋" w:cs="宋体"/>
                <w:color w:val="auto"/>
                <w:kern w:val="0"/>
                <w:szCs w:val="21"/>
                <w:highlight w:val="none"/>
              </w:rPr>
            </w:pPr>
          </w:p>
        </w:tc>
      </w:tr>
      <w:tr w14:paraId="078FAF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noWrap w:val="0"/>
            <w:tcMar>
              <w:top w:w="150" w:type="dxa"/>
              <w:left w:w="0" w:type="dxa"/>
              <w:bottom w:w="150" w:type="dxa"/>
              <w:right w:w="240" w:type="dxa"/>
            </w:tcMar>
            <w:vAlign w:val="center"/>
          </w:tcPr>
          <w:p w14:paraId="4FDF060E">
            <w:pPr>
              <w:widowControl/>
              <w:spacing w:line="520" w:lineRule="exact"/>
              <w:contextualSpacing/>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2</w:t>
            </w:r>
          </w:p>
        </w:tc>
        <w:tc>
          <w:tcPr>
            <w:tcW w:w="3828" w:type="dxa"/>
            <w:noWrap w:val="0"/>
            <w:tcMar>
              <w:top w:w="150" w:type="dxa"/>
              <w:left w:w="240" w:type="dxa"/>
              <w:bottom w:w="150" w:type="dxa"/>
              <w:right w:w="240" w:type="dxa"/>
            </w:tcMar>
            <w:vAlign w:val="center"/>
          </w:tcPr>
          <w:p w14:paraId="6EEF7252">
            <w:pPr>
              <w:widowControl/>
              <w:spacing w:line="520" w:lineRule="exact"/>
              <w:contextualSpacing/>
              <w:jc w:val="left"/>
              <w:rPr>
                <w:rFonts w:ascii="仿宋" w:hAnsi="仿宋" w:eastAsia="仿宋" w:cs="宋体"/>
                <w:color w:val="auto"/>
                <w:kern w:val="0"/>
                <w:szCs w:val="21"/>
                <w:highlight w:val="none"/>
              </w:rPr>
            </w:pPr>
          </w:p>
        </w:tc>
        <w:tc>
          <w:tcPr>
            <w:tcW w:w="1842" w:type="dxa"/>
            <w:noWrap w:val="0"/>
            <w:tcMar>
              <w:top w:w="150" w:type="dxa"/>
              <w:left w:w="240" w:type="dxa"/>
              <w:bottom w:w="150" w:type="dxa"/>
              <w:right w:w="240" w:type="dxa"/>
            </w:tcMar>
            <w:vAlign w:val="center"/>
          </w:tcPr>
          <w:p w14:paraId="424BDE21">
            <w:pPr>
              <w:widowControl/>
              <w:spacing w:line="520" w:lineRule="exact"/>
              <w:contextualSpacing/>
              <w:jc w:val="left"/>
              <w:rPr>
                <w:rFonts w:ascii="仿宋" w:hAnsi="仿宋" w:eastAsia="仿宋" w:cs="宋体"/>
                <w:color w:val="auto"/>
                <w:kern w:val="0"/>
                <w:szCs w:val="21"/>
                <w:highlight w:val="none"/>
              </w:rPr>
            </w:pPr>
            <w:r>
              <w:rPr>
                <w:rFonts w:ascii="Segoe UI Symbol" w:hAnsi="Segoe UI Symbol" w:eastAsia="仿宋" w:cs="Segoe UI Symbol"/>
                <w:color w:val="auto"/>
                <w:kern w:val="0"/>
                <w:szCs w:val="21"/>
                <w:highlight w:val="none"/>
              </w:rPr>
              <w:t>☐</w:t>
            </w:r>
            <w:r>
              <w:rPr>
                <w:rFonts w:ascii="仿宋" w:hAnsi="仿宋" w:eastAsia="仿宋" w:cs="宋体"/>
                <w:color w:val="auto"/>
                <w:kern w:val="0"/>
                <w:szCs w:val="21"/>
                <w:highlight w:val="none"/>
              </w:rPr>
              <w:t xml:space="preserve"> 通过 </w:t>
            </w:r>
          </w:p>
          <w:p w14:paraId="795A1CB8">
            <w:pPr>
              <w:widowControl/>
              <w:spacing w:line="520" w:lineRule="exact"/>
              <w:contextualSpacing/>
              <w:jc w:val="left"/>
              <w:rPr>
                <w:rFonts w:ascii="仿宋" w:hAnsi="仿宋" w:eastAsia="仿宋" w:cs="宋体"/>
                <w:color w:val="auto"/>
                <w:kern w:val="0"/>
                <w:szCs w:val="21"/>
                <w:highlight w:val="none"/>
              </w:rPr>
            </w:pPr>
            <w:r>
              <w:rPr>
                <w:rFonts w:ascii="Segoe UI Symbol" w:hAnsi="Segoe UI Symbol" w:eastAsia="仿宋" w:cs="Segoe UI Symbol"/>
                <w:color w:val="auto"/>
                <w:kern w:val="0"/>
                <w:szCs w:val="21"/>
                <w:highlight w:val="none"/>
              </w:rPr>
              <w:t>☐</w:t>
            </w:r>
            <w:r>
              <w:rPr>
                <w:rFonts w:ascii="仿宋" w:hAnsi="仿宋" w:eastAsia="仿宋" w:cs="宋体"/>
                <w:color w:val="auto"/>
                <w:kern w:val="0"/>
                <w:szCs w:val="21"/>
                <w:highlight w:val="none"/>
              </w:rPr>
              <w:t xml:space="preserve"> 不通过</w:t>
            </w:r>
          </w:p>
        </w:tc>
        <w:tc>
          <w:tcPr>
            <w:tcW w:w="3402" w:type="dxa"/>
            <w:noWrap w:val="0"/>
            <w:tcMar>
              <w:top w:w="150" w:type="dxa"/>
              <w:left w:w="240" w:type="dxa"/>
              <w:bottom w:w="150" w:type="dxa"/>
              <w:right w:w="0" w:type="dxa"/>
            </w:tcMar>
            <w:vAlign w:val="center"/>
          </w:tcPr>
          <w:p w14:paraId="69F95A17">
            <w:pPr>
              <w:widowControl/>
              <w:spacing w:line="520" w:lineRule="exact"/>
              <w:contextualSpacing/>
              <w:jc w:val="left"/>
              <w:rPr>
                <w:rFonts w:ascii="仿宋" w:hAnsi="仿宋" w:eastAsia="仿宋" w:cs="宋体"/>
                <w:color w:val="auto"/>
                <w:kern w:val="0"/>
                <w:szCs w:val="21"/>
                <w:highlight w:val="none"/>
              </w:rPr>
            </w:pPr>
          </w:p>
        </w:tc>
      </w:tr>
      <w:tr w14:paraId="671E0C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noWrap w:val="0"/>
            <w:tcMar>
              <w:top w:w="150" w:type="dxa"/>
              <w:left w:w="0" w:type="dxa"/>
              <w:bottom w:w="150" w:type="dxa"/>
              <w:right w:w="240" w:type="dxa"/>
            </w:tcMar>
            <w:vAlign w:val="center"/>
          </w:tcPr>
          <w:p w14:paraId="77D282BB">
            <w:pPr>
              <w:widowControl/>
              <w:spacing w:line="520" w:lineRule="exact"/>
              <w:contextualSpacing/>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3</w:t>
            </w:r>
          </w:p>
        </w:tc>
        <w:tc>
          <w:tcPr>
            <w:tcW w:w="3828" w:type="dxa"/>
            <w:noWrap w:val="0"/>
            <w:tcMar>
              <w:top w:w="150" w:type="dxa"/>
              <w:left w:w="240" w:type="dxa"/>
              <w:bottom w:w="150" w:type="dxa"/>
              <w:right w:w="240" w:type="dxa"/>
            </w:tcMar>
            <w:vAlign w:val="center"/>
          </w:tcPr>
          <w:p w14:paraId="6ACA9E14">
            <w:pPr>
              <w:widowControl/>
              <w:spacing w:line="520" w:lineRule="exact"/>
              <w:contextualSpacing/>
              <w:jc w:val="left"/>
              <w:rPr>
                <w:rFonts w:ascii="仿宋" w:hAnsi="仿宋" w:eastAsia="仿宋" w:cs="宋体"/>
                <w:color w:val="auto"/>
                <w:kern w:val="0"/>
                <w:szCs w:val="21"/>
                <w:highlight w:val="none"/>
              </w:rPr>
            </w:pPr>
          </w:p>
        </w:tc>
        <w:tc>
          <w:tcPr>
            <w:tcW w:w="1842" w:type="dxa"/>
            <w:noWrap w:val="0"/>
            <w:tcMar>
              <w:top w:w="150" w:type="dxa"/>
              <w:left w:w="240" w:type="dxa"/>
              <w:bottom w:w="150" w:type="dxa"/>
              <w:right w:w="240" w:type="dxa"/>
            </w:tcMar>
            <w:vAlign w:val="center"/>
          </w:tcPr>
          <w:p w14:paraId="3629A9D0">
            <w:pPr>
              <w:widowControl/>
              <w:spacing w:line="520" w:lineRule="exact"/>
              <w:contextualSpacing/>
              <w:jc w:val="left"/>
              <w:rPr>
                <w:rFonts w:ascii="仿宋" w:hAnsi="仿宋" w:eastAsia="仿宋" w:cs="宋体"/>
                <w:color w:val="auto"/>
                <w:kern w:val="0"/>
                <w:szCs w:val="21"/>
                <w:highlight w:val="none"/>
              </w:rPr>
            </w:pPr>
            <w:r>
              <w:rPr>
                <w:rFonts w:ascii="Segoe UI Symbol" w:hAnsi="Segoe UI Symbol" w:eastAsia="仿宋" w:cs="Segoe UI Symbol"/>
                <w:color w:val="auto"/>
                <w:kern w:val="0"/>
                <w:szCs w:val="21"/>
                <w:highlight w:val="none"/>
              </w:rPr>
              <w:t>☐</w:t>
            </w:r>
            <w:r>
              <w:rPr>
                <w:rFonts w:ascii="仿宋" w:hAnsi="仿宋" w:eastAsia="仿宋" w:cs="宋体"/>
                <w:color w:val="auto"/>
                <w:kern w:val="0"/>
                <w:szCs w:val="21"/>
                <w:highlight w:val="none"/>
              </w:rPr>
              <w:t xml:space="preserve"> 通过 </w:t>
            </w:r>
          </w:p>
          <w:p w14:paraId="5F091DF2">
            <w:pPr>
              <w:widowControl/>
              <w:spacing w:line="520" w:lineRule="exact"/>
              <w:contextualSpacing/>
              <w:jc w:val="left"/>
              <w:rPr>
                <w:rFonts w:ascii="仿宋" w:hAnsi="仿宋" w:eastAsia="仿宋" w:cs="宋体"/>
                <w:color w:val="auto"/>
                <w:kern w:val="0"/>
                <w:szCs w:val="21"/>
                <w:highlight w:val="none"/>
              </w:rPr>
            </w:pPr>
            <w:r>
              <w:rPr>
                <w:rFonts w:ascii="Segoe UI Symbol" w:hAnsi="Segoe UI Symbol" w:eastAsia="仿宋" w:cs="Segoe UI Symbol"/>
                <w:color w:val="auto"/>
                <w:kern w:val="0"/>
                <w:szCs w:val="21"/>
                <w:highlight w:val="none"/>
              </w:rPr>
              <w:t>☐</w:t>
            </w:r>
            <w:r>
              <w:rPr>
                <w:rFonts w:ascii="仿宋" w:hAnsi="仿宋" w:eastAsia="仿宋" w:cs="宋体"/>
                <w:color w:val="auto"/>
                <w:kern w:val="0"/>
                <w:szCs w:val="21"/>
                <w:highlight w:val="none"/>
              </w:rPr>
              <w:t xml:space="preserve"> 不通过</w:t>
            </w:r>
          </w:p>
        </w:tc>
        <w:tc>
          <w:tcPr>
            <w:tcW w:w="3402" w:type="dxa"/>
            <w:noWrap w:val="0"/>
            <w:tcMar>
              <w:top w:w="150" w:type="dxa"/>
              <w:left w:w="240" w:type="dxa"/>
              <w:bottom w:w="150" w:type="dxa"/>
              <w:right w:w="0" w:type="dxa"/>
            </w:tcMar>
            <w:vAlign w:val="center"/>
          </w:tcPr>
          <w:p w14:paraId="498BE473">
            <w:pPr>
              <w:widowControl/>
              <w:spacing w:line="520" w:lineRule="exact"/>
              <w:contextualSpacing/>
              <w:jc w:val="left"/>
              <w:rPr>
                <w:rFonts w:ascii="仿宋" w:hAnsi="仿宋" w:eastAsia="仿宋" w:cs="宋体"/>
                <w:color w:val="auto"/>
                <w:kern w:val="0"/>
                <w:szCs w:val="21"/>
                <w:highlight w:val="none"/>
              </w:rPr>
            </w:pPr>
          </w:p>
        </w:tc>
      </w:tr>
      <w:tr w14:paraId="3F477A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noWrap w:val="0"/>
            <w:tcMar>
              <w:top w:w="150" w:type="dxa"/>
              <w:left w:w="0" w:type="dxa"/>
              <w:bottom w:w="150" w:type="dxa"/>
              <w:right w:w="240" w:type="dxa"/>
            </w:tcMar>
            <w:vAlign w:val="center"/>
          </w:tcPr>
          <w:p w14:paraId="3C68038B">
            <w:pPr>
              <w:widowControl/>
              <w:spacing w:line="520" w:lineRule="exact"/>
              <w:contextualSpacing/>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w:t>
            </w:r>
          </w:p>
        </w:tc>
        <w:tc>
          <w:tcPr>
            <w:tcW w:w="3828" w:type="dxa"/>
            <w:noWrap w:val="0"/>
            <w:tcMar>
              <w:top w:w="150" w:type="dxa"/>
              <w:left w:w="240" w:type="dxa"/>
              <w:bottom w:w="150" w:type="dxa"/>
              <w:right w:w="240" w:type="dxa"/>
            </w:tcMar>
            <w:vAlign w:val="center"/>
          </w:tcPr>
          <w:p w14:paraId="03044800">
            <w:pPr>
              <w:widowControl/>
              <w:spacing w:line="520" w:lineRule="exact"/>
              <w:contextualSpacing/>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（可根据实际参选人数添加行）</w:t>
            </w:r>
          </w:p>
        </w:tc>
        <w:tc>
          <w:tcPr>
            <w:tcW w:w="1842" w:type="dxa"/>
            <w:noWrap w:val="0"/>
            <w:tcMar>
              <w:top w:w="150" w:type="dxa"/>
              <w:left w:w="240" w:type="dxa"/>
              <w:bottom w:w="150" w:type="dxa"/>
              <w:right w:w="240" w:type="dxa"/>
            </w:tcMar>
            <w:vAlign w:val="center"/>
          </w:tcPr>
          <w:p w14:paraId="604DC276">
            <w:pPr>
              <w:widowControl/>
              <w:spacing w:line="520" w:lineRule="exact"/>
              <w:contextualSpacing/>
              <w:jc w:val="left"/>
              <w:rPr>
                <w:rFonts w:ascii="仿宋" w:hAnsi="仿宋" w:eastAsia="仿宋" w:cs="宋体"/>
                <w:color w:val="auto"/>
                <w:kern w:val="0"/>
                <w:szCs w:val="21"/>
                <w:highlight w:val="none"/>
              </w:rPr>
            </w:pPr>
          </w:p>
        </w:tc>
        <w:tc>
          <w:tcPr>
            <w:tcW w:w="3402" w:type="dxa"/>
            <w:noWrap w:val="0"/>
            <w:tcMar>
              <w:top w:w="150" w:type="dxa"/>
              <w:left w:w="240" w:type="dxa"/>
              <w:bottom w:w="150" w:type="dxa"/>
              <w:right w:w="0" w:type="dxa"/>
            </w:tcMar>
            <w:vAlign w:val="center"/>
          </w:tcPr>
          <w:p w14:paraId="026923E6">
            <w:pPr>
              <w:widowControl/>
              <w:spacing w:line="520" w:lineRule="exact"/>
              <w:contextualSpacing/>
              <w:jc w:val="left"/>
              <w:rPr>
                <w:rFonts w:ascii="仿宋" w:hAnsi="仿宋" w:eastAsia="仿宋"/>
                <w:color w:val="auto"/>
                <w:kern w:val="0"/>
                <w:szCs w:val="21"/>
                <w:highlight w:val="none"/>
              </w:rPr>
            </w:pPr>
          </w:p>
        </w:tc>
      </w:tr>
    </w:tbl>
    <w:p w14:paraId="70B63339">
      <w:pPr>
        <w:widowControl/>
        <w:shd w:val="clear" w:color="auto" w:fill="FFFFFF"/>
        <w:spacing w:line="520" w:lineRule="exact"/>
        <w:contextualSpacing/>
        <w:jc w:val="left"/>
        <w:rPr>
          <w:rFonts w:ascii="仿宋" w:hAnsi="仿宋" w:eastAsia="仿宋" w:cs="Segoe UI"/>
          <w:color w:val="auto"/>
          <w:kern w:val="0"/>
          <w:szCs w:val="21"/>
          <w:highlight w:val="none"/>
        </w:rPr>
      </w:pPr>
      <w:r>
        <w:rPr>
          <w:rFonts w:ascii="仿宋" w:hAnsi="仿宋" w:eastAsia="仿宋" w:cs="Segoe UI"/>
          <w:bCs/>
          <w:color w:val="auto"/>
          <w:kern w:val="0"/>
          <w:szCs w:val="21"/>
          <w:highlight w:val="none"/>
        </w:rPr>
        <w:t>评审委员会确认：</w:t>
      </w:r>
      <w:r>
        <w:rPr>
          <w:rFonts w:ascii="仿宋" w:hAnsi="仿宋" w:eastAsia="仿宋" w:cs="Segoe UI"/>
          <w:color w:val="auto"/>
          <w:kern w:val="0"/>
          <w:szCs w:val="21"/>
          <w:highlight w:val="none"/>
        </w:rPr>
        <w:br w:type="textWrapping"/>
      </w:r>
      <w:r>
        <w:rPr>
          <w:rFonts w:ascii="仿宋" w:hAnsi="仿宋" w:eastAsia="仿宋" w:cs="Segoe UI"/>
          <w:color w:val="auto"/>
          <w:kern w:val="0"/>
          <w:szCs w:val="21"/>
          <w:highlight w:val="none"/>
        </w:rPr>
        <w:t>我们确认，已根据比选文件规定的资格要求，对所有参选人进行了公平、公正的审查，并依据评审原则形成上述总体结论。</w:t>
      </w:r>
    </w:p>
    <w:p w14:paraId="6231CB8E">
      <w:r>
        <w:rPr>
          <w:rFonts w:ascii="仿宋" w:hAnsi="仿宋" w:eastAsia="仿宋" w:cs="Segoe UI"/>
          <w:color w:val="auto"/>
          <w:kern w:val="0"/>
          <w:szCs w:val="21"/>
          <w:highlight w:val="none"/>
        </w:rPr>
        <w:t>评审员（签字）：__________ __________ __________</w:t>
      </w:r>
      <w:r>
        <w:rPr>
          <w:rFonts w:ascii="仿宋" w:hAnsi="仿宋" w:eastAsia="仿宋" w:cs="Segoe UI"/>
          <w:color w:val="auto"/>
          <w:kern w:val="0"/>
          <w:szCs w:val="21"/>
          <w:highlight w:val="none"/>
        </w:rPr>
        <w:br w:type="textWrapping"/>
      </w:r>
      <w:r>
        <w:rPr>
          <w:rFonts w:ascii="仿宋" w:hAnsi="仿宋" w:eastAsia="仿宋" w:cs="Segoe UI"/>
          <w:color w:val="auto"/>
          <w:kern w:val="0"/>
          <w:szCs w:val="21"/>
          <w:highlight w:val="none"/>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0253A"/>
    <w:rsid w:val="41502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2026-05-11T07:57:00Z</dcterms:created>
  <dc:creator>Lyn</dc:creator>
  <cp:lastModifiedBy>Lyn</cp:lastModifiedBy>
  <dcterms:modified xsi:type="dcterms:W3CDTF">2026-05-11T07:58:38Z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69C89AE68C4E4E3D80EA8C5BB9370D34_11</vt:lpwstr>
  </property>
  <property fmtid="{D5CDD505-2E9C-101B-9397-08002B2CF9AE}" pid="4" name="KSOTemplateDocerSaveRecord">
    <vt:lpwstr>eyJoZGlkIjoiMzI1NTc2YjM3YjBhNGRlYTk3YmY1YzQ4ZGRhMmI5ZWUiLCJ1c2VySWQiOiI0MzA1OTk4ODEifQ==</vt:lpwstr>
  </property>
</Properties>
</file>