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6E345">
      <w:pPr>
        <w:widowControl/>
        <w:shd w:val="clear" w:color="auto" w:fill="FFFFFF"/>
        <w:spacing w:line="520" w:lineRule="exact"/>
        <w:contextualSpacing/>
        <w:rPr>
          <w:rFonts w:ascii="仿宋" w:hAnsi="仿宋" w:eastAsia="仿宋" w:cs="Segoe UI"/>
          <w:b/>
          <w:bCs/>
          <w:sz w:val="32"/>
          <w:szCs w:val="32"/>
        </w:rPr>
      </w:pPr>
      <w:bookmarkStart w:id="0" w:name="_GoBack"/>
      <w:bookmarkEnd w:id="0"/>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7CB19CFF">
      <w:pPr>
        <w:widowControl/>
        <w:shd w:val="clear" w:color="auto" w:fill="FFFFFF"/>
        <w:spacing w:line="520" w:lineRule="exact"/>
        <w:contextualSpacing/>
        <w:rPr>
          <w:rFonts w:hint="eastAsia" w:ascii="仿宋" w:hAnsi="仿宋" w:eastAsia="仿宋" w:cs="仿宋"/>
          <w:bCs/>
          <w:sz w:val="24"/>
          <w:szCs w:val="24"/>
        </w:rPr>
      </w:pPr>
      <w:r>
        <w:rPr>
          <w:rFonts w:hint="eastAsia" w:ascii="仿宋" w:hAnsi="仿宋" w:eastAsia="仿宋" w:cs="仿宋"/>
          <w:bCs/>
          <w:color w:val="0F1115"/>
          <w:sz w:val="24"/>
          <w:szCs w:val="24"/>
          <w:shd w:val="clear" w:color="auto" w:fill="FFFFFF"/>
        </w:rPr>
        <w:t>项目名称：</w:t>
      </w:r>
      <w:r>
        <w:rPr>
          <w:rFonts w:hint="eastAsia" w:ascii="仿宋" w:hAnsi="仿宋" w:eastAsia="仿宋" w:cs="仿宋"/>
          <w:color w:val="0F1115"/>
          <w:sz w:val="24"/>
          <w:szCs w:val="24"/>
          <w:shd w:val="clear" w:color="auto" w:fill="FFFFFF"/>
        </w:rPr>
        <w:t> </w:t>
      </w:r>
      <w:r>
        <w:rPr>
          <w:rFonts w:hint="eastAsia" w:ascii="仿宋" w:hAnsi="仿宋" w:eastAsia="仿宋" w:cs="仿宋"/>
          <w:color w:val="0F1115"/>
          <w:sz w:val="24"/>
          <w:szCs w:val="24"/>
          <w:u w:val="single"/>
          <w:shd w:val="clear" w:color="auto" w:fill="FFFFFF"/>
        </w:rPr>
        <w:t xml:space="preserve">                                                </w:t>
      </w:r>
      <w:r>
        <w:rPr>
          <w:rFonts w:hint="eastAsia" w:ascii="仿宋" w:hAnsi="仿宋" w:eastAsia="仿宋" w:cs="仿宋"/>
          <w:color w:val="0F1115"/>
          <w:sz w:val="24"/>
          <w:szCs w:val="24"/>
          <w:shd w:val="clear" w:color="auto" w:fill="FFFFFF"/>
        </w:rPr>
        <w:t>服务项目</w:t>
      </w:r>
    </w:p>
    <w:p w14:paraId="556D5361">
      <w:pPr>
        <w:pStyle w:val="7"/>
        <w:shd w:val="clear" w:color="auto" w:fill="FFFFFF"/>
        <w:spacing w:before="0" w:beforeAutospacing="0" w:after="0" w:afterAutospacing="0" w:line="520" w:lineRule="exact"/>
        <w:contextualSpacing/>
        <w:rPr>
          <w:rFonts w:hint="eastAsia" w:ascii="仿宋" w:hAnsi="仿宋" w:eastAsia="仿宋" w:cs="仿宋"/>
          <w:color w:val="0F1115"/>
          <w:sz w:val="24"/>
          <w:szCs w:val="24"/>
        </w:rPr>
      </w:pPr>
      <w:r>
        <w:rPr>
          <w:rFonts w:hint="eastAsia" w:ascii="仿宋" w:hAnsi="仿宋" w:eastAsia="仿宋" w:cs="仿宋"/>
          <w:bCs/>
          <w:color w:val="0F1115"/>
          <w:sz w:val="24"/>
          <w:szCs w:val="24"/>
        </w:rPr>
        <w:t>评审原则：</w:t>
      </w:r>
      <w:r>
        <w:rPr>
          <w:rFonts w:hint="eastAsia" w:ascii="仿宋" w:hAnsi="仿宋" w:eastAsia="仿宋" w:cs="仿宋"/>
          <w:color w:val="0F1115"/>
          <w:sz w:val="24"/>
          <w:szCs w:val="24"/>
        </w:rPr>
        <w:t> 以下九项审查中，任一参选人有任一项结论为“不通过”，则其资格性审查总体结论为“不通过”，不得进入后续评审。</w:t>
      </w:r>
    </w:p>
    <w:tbl>
      <w:tblPr>
        <w:tblStyle w:val="5"/>
        <w:tblW w:w="5833" w:type="pct"/>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11276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107C3279">
            <w:pPr>
              <w:tabs>
                <w:tab w:val="left" w:pos="1080"/>
              </w:tabs>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256FE5A2">
            <w:pPr>
              <w:tabs>
                <w:tab w:val="left" w:pos="1080"/>
              </w:tabs>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检查因素</w:t>
            </w:r>
          </w:p>
        </w:tc>
        <w:tc>
          <w:tcPr>
            <w:tcW w:w="7405" w:type="dxa"/>
            <w:tcBorders>
              <w:top w:val="single" w:color="000000" w:sz="4" w:space="0"/>
              <w:left w:val="single" w:color="000000" w:sz="4" w:space="0"/>
              <w:bottom w:val="single" w:color="000000" w:sz="4" w:space="0"/>
              <w:right w:val="single" w:color="000000" w:sz="4" w:space="0"/>
            </w:tcBorders>
            <w:vAlign w:val="center"/>
          </w:tcPr>
          <w:p w14:paraId="08F2E72C">
            <w:pPr>
              <w:tabs>
                <w:tab w:val="left" w:pos="1080"/>
              </w:tabs>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检查内容</w:t>
            </w:r>
          </w:p>
        </w:tc>
      </w:tr>
      <w:tr w14:paraId="40C3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2C143F53">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00241D23">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营业执照等证明文件</w:t>
            </w:r>
          </w:p>
        </w:tc>
        <w:tc>
          <w:tcPr>
            <w:tcW w:w="7405" w:type="dxa"/>
            <w:tcBorders>
              <w:top w:val="single" w:color="000000" w:sz="4" w:space="0"/>
              <w:left w:val="single" w:color="000000" w:sz="4" w:space="0"/>
              <w:bottom w:val="single" w:color="000000" w:sz="4" w:space="0"/>
              <w:right w:val="single" w:color="000000" w:sz="4" w:space="0"/>
            </w:tcBorders>
            <w:vAlign w:val="center"/>
          </w:tcPr>
          <w:p w14:paraId="0BBE84C8">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供应商为企业（包括合伙企业）的，应提供有效的“营业执照”；</w:t>
            </w:r>
          </w:p>
          <w:p w14:paraId="3A917C81">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供应商为事业单位的，应提供有效的“事业单位法人证书”；</w:t>
            </w:r>
          </w:p>
          <w:p w14:paraId="67A6ACF2">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供应商是非企业机构的，应提供有效的“执业许可证”、“登记证书”等证明文件；</w:t>
            </w:r>
          </w:p>
          <w:p w14:paraId="4062D06D">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供应商是个体工商户的，应提供有效的“个体工商户营业执照”；</w:t>
            </w:r>
          </w:p>
          <w:p w14:paraId="71BF95C9">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供应商是自然人的，应提供有效的自然人身份证明。</w:t>
            </w:r>
          </w:p>
          <w:p w14:paraId="3AE03900">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3E0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5E071134">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695" w:type="dxa"/>
            <w:tcBorders>
              <w:top w:val="single" w:color="000000" w:sz="4" w:space="0"/>
              <w:left w:val="single" w:color="000000" w:sz="4" w:space="0"/>
              <w:bottom w:val="single" w:color="000000" w:sz="4" w:space="0"/>
              <w:right w:val="single" w:color="000000" w:sz="4" w:space="0"/>
            </w:tcBorders>
            <w:vAlign w:val="center"/>
          </w:tcPr>
          <w:p w14:paraId="01C5F56D">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供应商比选前承诺书</w:t>
            </w:r>
          </w:p>
        </w:tc>
        <w:tc>
          <w:tcPr>
            <w:tcW w:w="7405" w:type="dxa"/>
            <w:tcBorders>
              <w:top w:val="single" w:color="000000" w:sz="4" w:space="0"/>
              <w:left w:val="single" w:color="000000" w:sz="4" w:space="0"/>
              <w:bottom w:val="single" w:color="000000" w:sz="4" w:space="0"/>
              <w:right w:val="single" w:color="000000" w:sz="4" w:space="0"/>
            </w:tcBorders>
            <w:vAlign w:val="center"/>
          </w:tcPr>
          <w:p w14:paraId="46746935">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提供了符合比选文件要求的《比选前承诺书》。</w:t>
            </w:r>
          </w:p>
        </w:tc>
      </w:tr>
      <w:tr w14:paraId="5D55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21565AEA">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695" w:type="dxa"/>
            <w:tcBorders>
              <w:top w:val="single" w:color="000000" w:sz="4" w:space="0"/>
              <w:left w:val="single" w:color="000000" w:sz="4" w:space="0"/>
              <w:bottom w:val="single" w:color="000000" w:sz="4" w:space="0"/>
              <w:right w:val="single" w:color="000000" w:sz="4" w:space="0"/>
            </w:tcBorders>
            <w:vAlign w:val="center"/>
          </w:tcPr>
          <w:p w14:paraId="7E49F81A">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供应商资格声明书</w:t>
            </w:r>
          </w:p>
        </w:tc>
        <w:tc>
          <w:tcPr>
            <w:tcW w:w="7405" w:type="dxa"/>
            <w:tcBorders>
              <w:top w:val="single" w:color="000000" w:sz="4" w:space="0"/>
              <w:left w:val="single" w:color="000000" w:sz="4" w:space="0"/>
              <w:bottom w:val="single" w:color="000000" w:sz="4" w:space="0"/>
              <w:right w:val="single" w:color="000000" w:sz="4" w:space="0"/>
            </w:tcBorders>
            <w:vAlign w:val="center"/>
          </w:tcPr>
          <w:p w14:paraId="6067F9D0">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提供了符合比选文件要求的《供应商资格声明书》。</w:t>
            </w:r>
          </w:p>
        </w:tc>
      </w:tr>
      <w:tr w14:paraId="2858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49CE6EF4">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695" w:type="dxa"/>
            <w:tcBorders>
              <w:top w:val="single" w:color="000000" w:sz="4" w:space="0"/>
              <w:left w:val="single" w:color="000000" w:sz="4" w:space="0"/>
              <w:bottom w:val="single" w:color="000000" w:sz="4" w:space="0"/>
              <w:right w:val="single" w:color="000000" w:sz="4" w:space="0"/>
            </w:tcBorders>
            <w:vAlign w:val="center"/>
          </w:tcPr>
          <w:p w14:paraId="791878E4">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信誉要求</w:t>
            </w:r>
          </w:p>
        </w:tc>
        <w:tc>
          <w:tcPr>
            <w:tcW w:w="7405" w:type="dxa"/>
            <w:tcBorders>
              <w:top w:val="single" w:color="000000" w:sz="4" w:space="0"/>
              <w:left w:val="single" w:color="000000" w:sz="4" w:space="0"/>
              <w:bottom w:val="single" w:color="000000" w:sz="4" w:space="0"/>
              <w:right w:val="single" w:color="000000" w:sz="4" w:space="0"/>
            </w:tcBorders>
            <w:vAlign w:val="center"/>
          </w:tcPr>
          <w:p w14:paraId="18784F0F">
            <w:pPr>
              <w:tabs>
                <w:tab w:val="left" w:pos="1080"/>
              </w:tabs>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1）参加本次比选活动前三年内，在经营活动中无重大违法记录（须提供加盖公章的书面声明）。</w:t>
            </w:r>
          </w:p>
          <w:p w14:paraId="5AF387ED">
            <w:pPr>
              <w:tabs>
                <w:tab w:val="left" w:pos="1080"/>
              </w:tabs>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31C60931">
            <w:pPr>
              <w:tabs>
                <w:tab w:val="left" w:pos="1080"/>
              </w:tabs>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3）在“中国政府采购网”（www.ccgp.gov.cn）未被列入政府采购严重违法失信行为记录名单（处罚期限尚未届满的）（须提供公告发布日后查询结果的网页截图并加盖公章）。</w:t>
            </w:r>
          </w:p>
        </w:tc>
      </w:tr>
      <w:tr w14:paraId="561C3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7AE2040C">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695" w:type="dxa"/>
            <w:tcBorders>
              <w:top w:val="single" w:color="000000" w:sz="4" w:space="0"/>
              <w:left w:val="single" w:color="000000" w:sz="4" w:space="0"/>
              <w:bottom w:val="single" w:color="000000" w:sz="4" w:space="0"/>
              <w:right w:val="single" w:color="000000" w:sz="4" w:space="0"/>
            </w:tcBorders>
            <w:vAlign w:val="center"/>
          </w:tcPr>
          <w:p w14:paraId="1B1A3DDE">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法定资质</w:t>
            </w:r>
          </w:p>
        </w:tc>
        <w:tc>
          <w:tcPr>
            <w:tcW w:w="7405" w:type="dxa"/>
            <w:tcBorders>
              <w:top w:val="single" w:color="000000" w:sz="4" w:space="0"/>
              <w:left w:val="single" w:color="000000" w:sz="4" w:space="0"/>
              <w:bottom w:val="single" w:color="000000" w:sz="4" w:space="0"/>
              <w:right w:val="single" w:color="000000" w:sz="4" w:space="0"/>
            </w:tcBorders>
            <w:vAlign w:val="center"/>
          </w:tcPr>
          <w:p w14:paraId="1E7D3C0F">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0F8B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48C28DD3">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695" w:type="dxa"/>
            <w:tcBorders>
              <w:top w:val="single" w:color="000000" w:sz="4" w:space="0"/>
              <w:left w:val="single" w:color="000000" w:sz="4" w:space="0"/>
              <w:bottom w:val="single" w:color="000000" w:sz="4" w:space="0"/>
              <w:right w:val="single" w:color="000000" w:sz="4" w:space="0"/>
            </w:tcBorders>
            <w:vAlign w:val="center"/>
          </w:tcPr>
          <w:p w14:paraId="28D8D488">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业绩要求</w:t>
            </w:r>
          </w:p>
        </w:tc>
        <w:tc>
          <w:tcPr>
            <w:tcW w:w="7405" w:type="dxa"/>
            <w:tcBorders>
              <w:top w:val="single" w:color="000000" w:sz="4" w:space="0"/>
              <w:left w:val="single" w:color="000000" w:sz="4" w:space="0"/>
              <w:bottom w:val="single" w:color="000000" w:sz="4" w:space="0"/>
              <w:right w:val="single" w:color="000000" w:sz="4" w:space="0"/>
            </w:tcBorders>
            <w:vAlign w:val="center"/>
          </w:tcPr>
          <w:p w14:paraId="6F0F6336">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须提供自本比选公告发布之日前三年内至少独立完成1个及以上化粪池抽运或管道疏通服务项目。须提供合同关键页（至少包含合同封面、服务内容页、合同金额页、双方签字盖章页）及对应的服务验收证明或结算凭证复印件。</w:t>
            </w:r>
          </w:p>
        </w:tc>
      </w:tr>
      <w:tr w14:paraId="4E70C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7B26727C">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695" w:type="dxa"/>
            <w:tcBorders>
              <w:top w:val="single" w:color="000000" w:sz="4" w:space="0"/>
              <w:left w:val="single" w:color="000000" w:sz="4" w:space="0"/>
              <w:bottom w:val="single" w:color="000000" w:sz="4" w:space="0"/>
              <w:right w:val="single" w:color="000000" w:sz="4" w:space="0"/>
            </w:tcBorders>
            <w:vAlign w:val="center"/>
          </w:tcPr>
          <w:p w14:paraId="4C57B6A2">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人员要求</w:t>
            </w:r>
          </w:p>
        </w:tc>
        <w:tc>
          <w:tcPr>
            <w:tcW w:w="7405" w:type="dxa"/>
            <w:tcBorders>
              <w:top w:val="single" w:color="000000" w:sz="4" w:space="0"/>
              <w:left w:val="single" w:color="000000" w:sz="4" w:space="0"/>
              <w:bottom w:val="single" w:color="000000" w:sz="4" w:space="0"/>
              <w:right w:val="single" w:color="000000" w:sz="4" w:space="0"/>
            </w:tcBorders>
            <w:vAlign w:val="center"/>
          </w:tcPr>
          <w:p w14:paraId="2C3D5702">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现场作业人员须持有有效的有限空间作业资格证书（提供证书复印件）：</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tc>
      </w:tr>
      <w:tr w14:paraId="13EE7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3BC41C1B">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695" w:type="dxa"/>
            <w:tcBorders>
              <w:top w:val="single" w:color="000000" w:sz="4" w:space="0"/>
              <w:left w:val="single" w:color="000000" w:sz="4" w:space="0"/>
              <w:bottom w:val="single" w:color="000000" w:sz="4" w:space="0"/>
              <w:right w:val="single" w:color="000000" w:sz="4" w:space="0"/>
            </w:tcBorders>
            <w:vAlign w:val="center"/>
          </w:tcPr>
          <w:p w14:paraId="7186C54C">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本项目的其他特定资格要求</w:t>
            </w:r>
          </w:p>
        </w:tc>
        <w:tc>
          <w:tcPr>
            <w:tcW w:w="7405" w:type="dxa"/>
            <w:tcBorders>
              <w:top w:val="single" w:color="000000" w:sz="4" w:space="0"/>
              <w:left w:val="single" w:color="000000" w:sz="4" w:space="0"/>
              <w:bottom w:val="single" w:color="000000" w:sz="4" w:space="0"/>
              <w:right w:val="single" w:color="000000" w:sz="4" w:space="0"/>
            </w:tcBorders>
            <w:vAlign w:val="center"/>
          </w:tcPr>
          <w:p w14:paraId="3914193C">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如有，详见二、</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的资格要求，提供证明文件的电子件或电子证照。</w:t>
            </w:r>
          </w:p>
        </w:tc>
      </w:tr>
      <w:tr w14:paraId="3DE8F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4DCB5D93">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695" w:type="dxa"/>
            <w:tcBorders>
              <w:top w:val="single" w:color="000000" w:sz="4" w:space="0"/>
              <w:left w:val="single" w:color="000000" w:sz="4" w:space="0"/>
              <w:bottom w:val="single" w:color="000000" w:sz="4" w:space="0"/>
              <w:right w:val="single" w:color="000000" w:sz="4" w:space="0"/>
            </w:tcBorders>
            <w:vAlign w:val="center"/>
          </w:tcPr>
          <w:p w14:paraId="41CDFAE4">
            <w:pPr>
              <w:tabs>
                <w:tab w:val="left" w:pos="1080"/>
              </w:tabs>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法律、行政法规规定的其他条件（如有）</w:t>
            </w:r>
          </w:p>
        </w:tc>
        <w:tc>
          <w:tcPr>
            <w:tcW w:w="7405" w:type="dxa"/>
            <w:tcBorders>
              <w:top w:val="single" w:color="000000" w:sz="4" w:space="0"/>
              <w:left w:val="single" w:color="000000" w:sz="4" w:space="0"/>
              <w:bottom w:val="single" w:color="000000" w:sz="4" w:space="0"/>
              <w:right w:val="single" w:color="000000" w:sz="4" w:space="0"/>
            </w:tcBorders>
            <w:vAlign w:val="center"/>
          </w:tcPr>
          <w:p w14:paraId="1189F184">
            <w:pPr>
              <w:tabs>
                <w:tab w:val="left" w:pos="1080"/>
              </w:tabs>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法律、行政法规规定的其他条件</w:t>
            </w:r>
          </w:p>
        </w:tc>
      </w:tr>
    </w:tbl>
    <w:p w14:paraId="0327069B">
      <w:pPr>
        <w:rPr>
          <w:rFonts w:hint="eastAsia" w:ascii="仿宋" w:hAnsi="仿宋" w:eastAsia="仿宋" w:cs="仿宋"/>
          <w:bCs/>
          <w:color w:val="0F1115"/>
          <w:kern w:val="0"/>
          <w:sz w:val="24"/>
          <w:szCs w:val="24"/>
        </w:rPr>
      </w:pPr>
      <w:r>
        <w:rPr>
          <w:rFonts w:hint="eastAsia" w:ascii="仿宋" w:hAnsi="仿宋" w:eastAsia="仿宋" w:cs="仿宋"/>
          <w:bCs/>
          <w:color w:val="0F1115"/>
          <w:kern w:val="0"/>
          <w:sz w:val="24"/>
          <w:szCs w:val="24"/>
        </w:rPr>
        <w:br w:type="page"/>
      </w:r>
    </w:p>
    <w:p w14:paraId="58D048B5">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资格性审查总体结论记录表</w:t>
      </w:r>
    </w:p>
    <w:p w14:paraId="65F3C914">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评审员填写指引：</w:t>
      </w:r>
    </w:p>
    <w:p w14:paraId="04EC1F04">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请根据上表对每家参选人进行逐项审查，并在评审会议记录中载明各分项结论。</w:t>
      </w:r>
    </w:p>
    <w:p w14:paraId="53C6D7A3">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完成逐项审查后，根据评审原则（有一项不通过则总体不通过），在本表记录总体结论。</w:t>
      </w:r>
    </w:p>
    <w:p w14:paraId="0C248AED">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对结论为“不通过”的参选人，必须在“不通过原因说明”栏中，清晰、具体地注明所违反的审查项目序号及事实依据。</w:t>
      </w:r>
    </w:p>
    <w:tbl>
      <w:tblPr>
        <w:tblStyle w:val="5"/>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52C0BE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709" w:type="dxa"/>
            <w:tcMar>
              <w:top w:w="150" w:type="dxa"/>
              <w:left w:w="0" w:type="dxa"/>
              <w:bottom w:w="150" w:type="dxa"/>
              <w:right w:w="240" w:type="dxa"/>
            </w:tcMar>
            <w:vAlign w:val="center"/>
          </w:tcPr>
          <w:p w14:paraId="1A51E090">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3828" w:type="dxa"/>
            <w:tcMar>
              <w:top w:w="150" w:type="dxa"/>
              <w:left w:w="240" w:type="dxa"/>
              <w:bottom w:w="150" w:type="dxa"/>
              <w:right w:w="240" w:type="dxa"/>
            </w:tcMar>
            <w:vAlign w:val="center"/>
          </w:tcPr>
          <w:p w14:paraId="315BB983">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参选人名称</w:t>
            </w:r>
          </w:p>
        </w:tc>
        <w:tc>
          <w:tcPr>
            <w:tcW w:w="1842" w:type="dxa"/>
            <w:tcMar>
              <w:top w:w="150" w:type="dxa"/>
              <w:left w:w="240" w:type="dxa"/>
              <w:bottom w:w="150" w:type="dxa"/>
              <w:right w:w="240" w:type="dxa"/>
            </w:tcMar>
            <w:vAlign w:val="center"/>
          </w:tcPr>
          <w:p w14:paraId="02D9AD0E">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总体审查结论</w:t>
            </w:r>
          </w:p>
        </w:tc>
        <w:tc>
          <w:tcPr>
            <w:tcW w:w="3402" w:type="dxa"/>
            <w:tcMar>
              <w:top w:w="150" w:type="dxa"/>
              <w:left w:w="240" w:type="dxa"/>
              <w:bottom w:w="150" w:type="dxa"/>
              <w:right w:w="240" w:type="dxa"/>
            </w:tcMar>
            <w:vAlign w:val="center"/>
          </w:tcPr>
          <w:p w14:paraId="773AB4AA">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不通过原因说明 (仅当结论为“不通过”时填写)</w:t>
            </w:r>
          </w:p>
        </w:tc>
      </w:tr>
      <w:tr w14:paraId="0151CC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C47F649">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828" w:type="dxa"/>
            <w:tcMar>
              <w:top w:w="150" w:type="dxa"/>
              <w:left w:w="240" w:type="dxa"/>
              <w:bottom w:w="150" w:type="dxa"/>
              <w:right w:w="240" w:type="dxa"/>
            </w:tcMar>
            <w:vAlign w:val="center"/>
          </w:tcPr>
          <w:p w14:paraId="3485CA04">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3A9284D4">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61CC8A67">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48D479FF">
            <w:pPr>
              <w:widowControl/>
              <w:spacing w:line="520" w:lineRule="exact"/>
              <w:contextualSpacing/>
              <w:jc w:val="left"/>
              <w:rPr>
                <w:rFonts w:hint="eastAsia" w:ascii="仿宋" w:hAnsi="仿宋" w:eastAsia="仿宋" w:cs="仿宋"/>
                <w:kern w:val="0"/>
                <w:sz w:val="24"/>
                <w:szCs w:val="24"/>
              </w:rPr>
            </w:pPr>
          </w:p>
        </w:tc>
      </w:tr>
      <w:tr w14:paraId="123421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E28CCD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8" w:type="dxa"/>
            <w:tcMar>
              <w:top w:w="150" w:type="dxa"/>
              <w:left w:w="240" w:type="dxa"/>
              <w:bottom w:w="150" w:type="dxa"/>
              <w:right w:w="240" w:type="dxa"/>
            </w:tcMar>
            <w:vAlign w:val="center"/>
          </w:tcPr>
          <w:p w14:paraId="45C695F1">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1D1F4087">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65D39E31">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180F184B">
            <w:pPr>
              <w:widowControl/>
              <w:spacing w:line="520" w:lineRule="exact"/>
              <w:contextualSpacing/>
              <w:jc w:val="left"/>
              <w:rPr>
                <w:rFonts w:hint="eastAsia" w:ascii="仿宋" w:hAnsi="仿宋" w:eastAsia="仿宋" w:cs="仿宋"/>
                <w:kern w:val="0"/>
                <w:sz w:val="24"/>
                <w:szCs w:val="24"/>
              </w:rPr>
            </w:pPr>
          </w:p>
        </w:tc>
      </w:tr>
      <w:tr w14:paraId="38971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51FD22">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828" w:type="dxa"/>
            <w:tcMar>
              <w:top w:w="150" w:type="dxa"/>
              <w:left w:w="240" w:type="dxa"/>
              <w:bottom w:w="150" w:type="dxa"/>
              <w:right w:w="240" w:type="dxa"/>
            </w:tcMar>
            <w:vAlign w:val="center"/>
          </w:tcPr>
          <w:p w14:paraId="54BFE3E0">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7817A419">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5DEBBEA2">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7F7A90A0">
            <w:pPr>
              <w:widowControl/>
              <w:spacing w:line="520" w:lineRule="exact"/>
              <w:contextualSpacing/>
              <w:jc w:val="left"/>
              <w:rPr>
                <w:rFonts w:hint="eastAsia" w:ascii="仿宋" w:hAnsi="仿宋" w:eastAsia="仿宋" w:cs="仿宋"/>
                <w:kern w:val="0"/>
                <w:sz w:val="24"/>
                <w:szCs w:val="24"/>
              </w:rPr>
            </w:pPr>
          </w:p>
        </w:tc>
      </w:tr>
      <w:tr w14:paraId="6CC361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2F0C0A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3828" w:type="dxa"/>
            <w:tcMar>
              <w:top w:w="150" w:type="dxa"/>
              <w:left w:w="240" w:type="dxa"/>
              <w:bottom w:w="150" w:type="dxa"/>
              <w:right w:w="240" w:type="dxa"/>
            </w:tcMar>
            <w:vAlign w:val="center"/>
          </w:tcPr>
          <w:p w14:paraId="42E31AEA">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（可根据实际参选人数添加行）</w:t>
            </w:r>
          </w:p>
        </w:tc>
        <w:tc>
          <w:tcPr>
            <w:tcW w:w="1842" w:type="dxa"/>
            <w:tcMar>
              <w:top w:w="150" w:type="dxa"/>
              <w:left w:w="240" w:type="dxa"/>
              <w:bottom w:w="150" w:type="dxa"/>
              <w:right w:w="240" w:type="dxa"/>
            </w:tcMar>
            <w:vAlign w:val="center"/>
          </w:tcPr>
          <w:p w14:paraId="61DFE0F5">
            <w:pPr>
              <w:widowControl/>
              <w:spacing w:line="520" w:lineRule="exact"/>
              <w:contextualSpacing/>
              <w:jc w:val="left"/>
              <w:rPr>
                <w:rFonts w:hint="eastAsia" w:ascii="仿宋" w:hAnsi="仿宋" w:eastAsia="仿宋" w:cs="仿宋"/>
                <w:kern w:val="0"/>
                <w:sz w:val="24"/>
                <w:szCs w:val="24"/>
              </w:rPr>
            </w:pPr>
          </w:p>
        </w:tc>
        <w:tc>
          <w:tcPr>
            <w:tcW w:w="3402" w:type="dxa"/>
            <w:tcMar>
              <w:top w:w="150" w:type="dxa"/>
              <w:left w:w="240" w:type="dxa"/>
              <w:bottom w:w="150" w:type="dxa"/>
              <w:right w:w="0" w:type="dxa"/>
            </w:tcMar>
            <w:vAlign w:val="center"/>
          </w:tcPr>
          <w:p w14:paraId="333BFEA2">
            <w:pPr>
              <w:widowControl/>
              <w:spacing w:line="520" w:lineRule="exact"/>
              <w:contextualSpacing/>
              <w:jc w:val="left"/>
              <w:rPr>
                <w:rFonts w:hint="eastAsia" w:ascii="仿宋" w:hAnsi="仿宋" w:eastAsia="仿宋" w:cs="仿宋"/>
                <w:kern w:val="0"/>
                <w:sz w:val="24"/>
                <w:szCs w:val="24"/>
              </w:rPr>
            </w:pPr>
          </w:p>
        </w:tc>
      </w:tr>
    </w:tbl>
    <w:p w14:paraId="173570D1">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评审委员会确认：</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我们确认，已根据比选文件规定的资格要求，对所有参选人进行了公平、公正的审查，并依据评审原则形成上述总体结论。</w:t>
      </w:r>
    </w:p>
    <w:p w14:paraId="25F38495">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评审员（签字）：__________ __________ __________</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日 期：__________年______月______日</w:t>
      </w:r>
    </w:p>
    <w:p w14:paraId="063B4B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90C32"/>
    <w:rsid w:val="02642878"/>
    <w:rsid w:val="3049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ind w:firstLine="420"/>
    </w:pPr>
    <w:rPr>
      <w:rFonts w:hAnsi="Times New Roman" w:cs="Times New Roman"/>
      <w:kern w:val="2"/>
      <w:sz w:val="24"/>
      <w:szCs w:val="24"/>
    </w:rPr>
  </w:style>
  <w:style w:type="paragraph" w:styleId="4">
    <w:name w:val="annotation text"/>
    <w:basedOn w:val="1"/>
    <w:semiHidden/>
    <w:unhideWhenUsed/>
    <w:qFormat/>
    <w:uiPriority w:val="99"/>
    <w:pPr>
      <w:jc w:val="left"/>
    </w:pPr>
  </w:style>
  <w:style w:type="paragraph" w:customStyle="1" w:styleId="7">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1365</Characters>
  <Lines>0</Lines>
  <Paragraphs>0</Paragraphs>
  <TotalTime>0</TotalTime>
  <ScaleCrop>false</ScaleCrop>
  <LinksUpToDate>false</LinksUpToDate>
  <CharactersWithSpaces>1473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2026-05-15T05:55:00Z</dcterms:created>
  <dc:creator>Lyn</dc:creator>
  <cp:lastModifiedBy>Lyn</cp:lastModifiedBy>
  <dcterms:modified xsi:type="dcterms:W3CDTF">2026-05-15T05:59:25Z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175641531A7649A1A2E499348FEE1091_11</vt:lpwstr>
  </property>
  <property fmtid="{D5CDD505-2E9C-101B-9397-08002B2CF9AE}" pid="4" name="KSOTemplateDocerSaveRecord">
    <vt:lpwstr>eyJoZGlkIjoiMzI1NTc2YjM3YjBhNGRlYTk3YmY1YzQ4ZGRhMmI5ZWUiLCJ1c2VySWQiOiI0MzA1OTk4ODEifQ==</vt:lpwstr>
  </property>
</Properties>
</file>