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89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2" w:name="_GoBack"/>
      <w:bookmarkEnd w:id="2"/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169A5FD2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仿宋"/>
          <w:color w:val="0F111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F1115"/>
          <w:sz w:val="24"/>
          <w:szCs w:val="24"/>
          <w:shd w:val="clear" w:color="auto" w:fill="FFFFFF"/>
        </w:rPr>
        <w:t>项目名称：首都医科大学附属北京口腔医院王府井院区化粪池抽运服务项目</w:t>
      </w:r>
    </w:p>
    <w:p w14:paraId="78BF6BE1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商务部分</w:t>
      </w:r>
    </w:p>
    <w:tbl>
      <w:tblPr>
        <w:tblStyle w:val="5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1701"/>
        <w:gridCol w:w="816"/>
        <w:gridCol w:w="5280"/>
      </w:tblGrid>
      <w:tr w14:paraId="7E4A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595" w:type="dxa"/>
            <w:vAlign w:val="center"/>
          </w:tcPr>
          <w:p w14:paraId="2EE96D50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3F6952B2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评分因素分项</w:t>
            </w:r>
          </w:p>
        </w:tc>
        <w:tc>
          <w:tcPr>
            <w:tcW w:w="816" w:type="dxa"/>
            <w:vAlign w:val="center"/>
          </w:tcPr>
          <w:p w14:paraId="328967D2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5280" w:type="dxa"/>
            <w:vAlign w:val="center"/>
          </w:tcPr>
          <w:p w14:paraId="04E29BA7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</w:tr>
      <w:tr w14:paraId="087F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5" w:hRule="atLeast"/>
        </w:trPr>
        <w:tc>
          <w:tcPr>
            <w:tcW w:w="595" w:type="dxa"/>
            <w:vAlign w:val="center"/>
          </w:tcPr>
          <w:p w14:paraId="74C032E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28A0E9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</w:t>
            </w:r>
          </w:p>
        </w:tc>
        <w:tc>
          <w:tcPr>
            <w:tcW w:w="816" w:type="dxa"/>
            <w:vAlign w:val="center"/>
          </w:tcPr>
          <w:p w14:paraId="5BA2EA7B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0" w:type="dxa"/>
            <w:vAlign w:val="center"/>
          </w:tcPr>
          <w:p w14:paraId="172012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在近三年内（202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递交截止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日）的类似化粪池抽运或管道疏通服务项目进行评审，须在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参选文件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中提供合同复印件并加盖投标单位公章，每提供1项合格的业绩得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  <w:p w14:paraId="161B5B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注： </w:t>
            </w:r>
          </w:p>
          <w:p w14:paraId="157FD4B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1）以合同签订时间为准，未注明签订时间的合同评标委员会有权不予认可为有效业绩。</w:t>
            </w:r>
          </w:p>
          <w:p w14:paraId="4BEA545E">
            <w:pPr>
              <w:widowControl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2）与同一采购人签订的不同服务时间的合同按1份合同计算。</w:t>
            </w:r>
          </w:p>
        </w:tc>
      </w:tr>
    </w:tbl>
    <w:p w14:paraId="45C05E7E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技术部分</w:t>
      </w:r>
    </w:p>
    <w:tbl>
      <w:tblPr>
        <w:tblStyle w:val="5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2"/>
        <w:gridCol w:w="1499"/>
        <w:gridCol w:w="594"/>
        <w:gridCol w:w="5618"/>
      </w:tblGrid>
      <w:tr w14:paraId="053F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</w:trPr>
        <w:tc>
          <w:tcPr>
            <w:tcW w:w="652" w:type="dxa"/>
            <w:vAlign w:val="center"/>
          </w:tcPr>
          <w:p w14:paraId="66FFC60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99" w:type="dxa"/>
            <w:vAlign w:val="center"/>
          </w:tcPr>
          <w:p w14:paraId="5120EB0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评分因素分项</w:t>
            </w:r>
          </w:p>
        </w:tc>
        <w:tc>
          <w:tcPr>
            <w:tcW w:w="594" w:type="dxa"/>
            <w:vAlign w:val="center"/>
          </w:tcPr>
          <w:p w14:paraId="15E7475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5618" w:type="dxa"/>
            <w:vAlign w:val="center"/>
          </w:tcPr>
          <w:p w14:paraId="66B9B4A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评分标准</w:t>
            </w:r>
          </w:p>
        </w:tc>
      </w:tr>
      <w:tr w14:paraId="1D65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1" w:hRule="atLeast"/>
        </w:trPr>
        <w:tc>
          <w:tcPr>
            <w:tcW w:w="652" w:type="dxa"/>
            <w:vAlign w:val="center"/>
          </w:tcPr>
          <w:p w14:paraId="073A912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14:paraId="2F7067C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对采购需求的响应情况</w:t>
            </w:r>
          </w:p>
        </w:tc>
        <w:tc>
          <w:tcPr>
            <w:tcW w:w="594" w:type="dxa"/>
            <w:vAlign w:val="center"/>
          </w:tcPr>
          <w:p w14:paraId="43DD85B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5618" w:type="dxa"/>
            <w:vAlign w:val="center"/>
          </w:tcPr>
          <w:p w14:paraId="35AF649B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参选文件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响应的技术指标全部满足本项目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比选文件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服务内容及要求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的得30分，一项技术指标不满足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比选文件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要求扣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分，本项分值扣完为止。</w:t>
            </w:r>
          </w:p>
        </w:tc>
      </w:tr>
      <w:tr w14:paraId="2A37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652" w:type="dxa"/>
            <w:vAlign w:val="center"/>
          </w:tcPr>
          <w:p w14:paraId="21732D4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9" w:type="dxa"/>
            <w:vAlign w:val="center"/>
          </w:tcPr>
          <w:p w14:paraId="016178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清掏服务方案</w:t>
            </w:r>
          </w:p>
        </w:tc>
        <w:tc>
          <w:tcPr>
            <w:tcW w:w="594" w:type="dxa"/>
            <w:vAlign w:val="center"/>
          </w:tcPr>
          <w:p w14:paraId="45BCFB7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18" w:type="dxa"/>
            <w:vAlign w:val="center"/>
          </w:tcPr>
          <w:p w14:paraId="4BA687E4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针对本项目提供的“清掏服务方案”进行综合评审：（包括但不限于化粪池及污水井栅的清掏、脱水、运输消纳的服务方案）</w:t>
            </w:r>
          </w:p>
          <w:p w14:paraId="33D75E9A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方案内容全面、完整、具体、针对性强、可操作性强，得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4A90D24D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方案内容全面、完整、具体、针对性较强、可操作性较强，得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556D2018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方案内容的全面性、完整行、具体行一般，针对性一般，可操作性一般，得1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3025C894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方案内容不全面、不完整、不具体、针对性不强、可操作性不强或未提供不得分。</w:t>
            </w:r>
          </w:p>
        </w:tc>
      </w:tr>
      <w:tr w14:paraId="5BEC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652" w:type="dxa"/>
            <w:vAlign w:val="center"/>
          </w:tcPr>
          <w:p w14:paraId="6480EA1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9" w:type="dxa"/>
            <w:vAlign w:val="center"/>
          </w:tcPr>
          <w:p w14:paraId="54D09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人员管理、培训、考核方案</w:t>
            </w:r>
          </w:p>
        </w:tc>
        <w:tc>
          <w:tcPr>
            <w:tcW w:w="594" w:type="dxa"/>
            <w:vAlign w:val="center"/>
          </w:tcPr>
          <w:p w14:paraId="06C9C5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18" w:type="dxa"/>
            <w:vAlign w:val="center"/>
          </w:tcPr>
          <w:p w14:paraId="5AAFC274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针对本项目提供的“人员管理、培训、考核方案”进行综合评审：</w:t>
            </w:r>
          </w:p>
          <w:p w14:paraId="4CAF7233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人员证书齐全、管理制度完整、培训方案全面、考核制度针对性强、可操作性强得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56B7D104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人员证书不齐全、管理制度较完整、培训方案较全面、考核制度针对性较强、可操作性较强得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19765132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人员证书不齐全、、管理制度一般、培训方案一般、考核制度一般得1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7DD2DDC3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人员证书不齐全、管理制度不完整、培训方案不全面、考核制度针对性不强、可操作性不强或未提供不得分。</w:t>
            </w:r>
          </w:p>
        </w:tc>
      </w:tr>
      <w:tr w14:paraId="4A10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652" w:type="dxa"/>
            <w:vAlign w:val="center"/>
          </w:tcPr>
          <w:p w14:paraId="795D17E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9" w:type="dxa"/>
            <w:vAlign w:val="center"/>
          </w:tcPr>
          <w:p w14:paraId="4B418A89">
            <w:pPr>
              <w:widowControl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药剂采购、存储保障及水质检测方案</w:t>
            </w:r>
          </w:p>
        </w:tc>
        <w:tc>
          <w:tcPr>
            <w:tcW w:w="594" w:type="dxa"/>
            <w:vAlign w:val="center"/>
          </w:tcPr>
          <w:p w14:paraId="63C940DD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18" w:type="dxa"/>
            <w:vAlign w:val="center"/>
          </w:tcPr>
          <w:p w14:paraId="59245461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针对本项目提供的“药剂采购、存储保障及水质检测方案”进行综合评审：</w:t>
            </w:r>
          </w:p>
          <w:p w14:paraId="3EF8D108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方案内容全面、完整、具体、针对性强、可操作性强，得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18B4BC2F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方案内容全面、完整、具体、针对性较强、可操作性较强，得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7463D82E">
            <w:pPr>
              <w:widowControl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方案内容的全面性、完整行、具体行一般，针对性一般，可操作性一般，得1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01AF991F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方案内容不全面、不完整、不具体、针对性不强、可操作性不强或未提供不得分。</w:t>
            </w:r>
          </w:p>
        </w:tc>
      </w:tr>
      <w:tr w14:paraId="162D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652" w:type="dxa"/>
            <w:vAlign w:val="center"/>
          </w:tcPr>
          <w:p w14:paraId="440495D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9" w:type="dxa"/>
            <w:vAlign w:val="center"/>
          </w:tcPr>
          <w:p w14:paraId="4F0568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突发情况的处理及应急预案</w:t>
            </w:r>
          </w:p>
        </w:tc>
        <w:tc>
          <w:tcPr>
            <w:tcW w:w="594" w:type="dxa"/>
            <w:vAlign w:val="center"/>
          </w:tcPr>
          <w:p w14:paraId="2513CF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18" w:type="dxa"/>
            <w:vAlign w:val="center"/>
          </w:tcPr>
          <w:p w14:paraId="1F4C73E2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针对本项目提供的“突发情况的处理及应急预案”进行综合评审： </w:t>
            </w:r>
          </w:p>
          <w:p w14:paraId="1B246CD9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突发情况反应迅速、应急预案内容充实，合理性、科学性、针对性高得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795F863C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突发情况反应一般、应急预案内容较充实，合理性、科学性、针对性较高得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2D5FACE2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突发情况反应一般、应急预案内容一般，合理性、科学性、针对性一般得1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分； </w:t>
            </w:r>
          </w:p>
          <w:p w14:paraId="3C362D18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突发情况反应滞后、应急预案内容不全面、不合同、不科学、针对性不强或未提供不得分。</w:t>
            </w:r>
          </w:p>
        </w:tc>
      </w:tr>
    </w:tbl>
    <w:p w14:paraId="39A986EF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价格部分</w:t>
      </w:r>
    </w:p>
    <w:tbl>
      <w:tblPr>
        <w:tblStyle w:val="5"/>
        <w:tblW w:w="83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91"/>
        <w:gridCol w:w="6391"/>
      </w:tblGrid>
      <w:tr w14:paraId="1FD6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343F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评分因素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5C03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6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4CD8F5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</w:tr>
      <w:tr w14:paraId="62291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0D7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3FCD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6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AFF6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比选文件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要求且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最低的为基准价，该报价得分为满分。其他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的报价得分统一按照下列公式计算：</w:t>
            </w:r>
          </w:p>
          <w:p w14:paraId="75D9A8A0">
            <w:pPr>
              <w:ind w:left="-3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报价得分＝（基准价/报价）×分值。</w:t>
            </w:r>
          </w:p>
          <w:p w14:paraId="0C5DE2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04F0A8D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仿宋"/>
          <w:color w:val="0F1115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0F1115"/>
          <w:kern w:val="0"/>
          <w:sz w:val="24"/>
          <w:szCs w:val="24"/>
        </w:rPr>
        <w:t>评审委员会确认：</w:t>
      </w:r>
    </w:p>
    <w:p w14:paraId="015D519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12C70EF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4C954E48"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67C27"/>
    <w:rsid w:val="22667C27"/>
    <w:rsid w:val="421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ind w:firstLine="420"/>
    </w:pPr>
    <w:rPr>
      <w:rFonts w:hAnsi="Times New Roman" w:cs="Times New Roman"/>
      <w:kern w:val="2"/>
      <w:sz w:val="24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1297</Words>
  <Characters>1388</Characters>
  <Lines>0</Lines>
  <Paragraphs>0</Paragraphs>
  <TotalTime>0</TotalTime>
  <ScaleCrop>false</ScaleCrop>
  <LinksUpToDate>false</LinksUpToDate>
  <CharactersWithSpaces>1395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2026-05-15T05:56:00Z</dcterms:created>
  <dc:creator>Lyn</dc:creator>
  <cp:lastModifiedBy>Lyn</cp:lastModifiedBy>
  <dcterms:modified xsi:type="dcterms:W3CDTF">2026-05-15T05:59:47Z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8D54098AA7F045DFA555B843824E9B82_11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