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429AE">
      <w:pPr>
        <w:widowControl/>
        <w:shd w:val="clear" w:color="auto" w:fill="FFFFFF"/>
        <w:spacing w:line="520" w:lineRule="exact"/>
        <w:contextualSpacing/>
        <w:rPr>
          <w:rFonts w:ascii="仿宋" w:hAnsi="仿宋" w:eastAsia="仿宋" w:cs="Segoe UI"/>
          <w:b/>
          <w:bCs/>
          <w:color w:val="auto"/>
          <w:sz w:val="44"/>
          <w:szCs w:val="44"/>
        </w:rPr>
      </w:pPr>
      <w:r>
        <w:rPr>
          <w:rFonts w:ascii="仿宋" w:hAnsi="仿宋" w:eastAsia="仿宋" w:cs="Segoe UI"/>
          <w:b/>
          <w:bCs/>
          <w:color w:val="auto"/>
          <w:sz w:val="32"/>
          <w:szCs w:val="32"/>
        </w:rPr>
        <w:t>附件</w:t>
      </w:r>
      <w:r>
        <w:rPr>
          <w:rFonts w:hint="eastAsia" w:ascii="仿宋" w:hAnsi="仿宋" w:eastAsia="仿宋" w:cs="Segoe UI"/>
          <w:b/>
          <w:bCs/>
          <w:color w:val="auto"/>
          <w:sz w:val="32"/>
          <w:szCs w:val="32"/>
        </w:rPr>
        <w:t>三</w:t>
      </w:r>
      <w:r>
        <w:rPr>
          <w:rFonts w:ascii="仿宋" w:hAnsi="仿宋" w:eastAsia="仿宋" w:cs="Segoe UI"/>
          <w:b/>
          <w:bCs/>
          <w:color w:val="auto"/>
          <w:sz w:val="32"/>
          <w:szCs w:val="32"/>
        </w:rPr>
        <w:t>：资格性审查表</w:t>
      </w:r>
    </w:p>
    <w:p w14:paraId="71DB3D92">
      <w:pPr>
        <w:widowControl/>
        <w:shd w:val="clear" w:color="auto" w:fill="FFFFFF"/>
        <w:spacing w:line="520" w:lineRule="exact"/>
        <w:contextualSpacing/>
        <w:rPr>
          <w:rFonts w:ascii="仿宋" w:hAnsi="仿宋" w:eastAsia="仿宋" w:cs="Segoe UI"/>
          <w:bCs/>
          <w:color w:val="auto"/>
          <w:sz w:val="24"/>
          <w:szCs w:val="24"/>
        </w:rPr>
      </w:pPr>
      <w:r>
        <w:rPr>
          <w:rFonts w:ascii="仿宋" w:hAnsi="仿宋" w:eastAsia="仿宋" w:cs="Segoe UI"/>
          <w:bCs/>
          <w:color w:val="auto"/>
          <w:sz w:val="24"/>
          <w:szCs w:val="24"/>
          <w:shd w:val="clear" w:color="auto" w:fill="FFFFFF"/>
        </w:rPr>
        <w:t>项目名称：</w:t>
      </w:r>
      <w:r>
        <w:rPr>
          <w:rFonts w:ascii="Calibri" w:hAnsi="Calibri" w:eastAsia="仿宋" w:cs="Calibri"/>
          <w:color w:val="auto"/>
          <w:sz w:val="24"/>
          <w:szCs w:val="24"/>
          <w:shd w:val="clear" w:color="auto" w:fill="FFFFFF"/>
        </w:rPr>
        <w:t> </w:t>
      </w:r>
      <w:r>
        <w:rPr>
          <w:rFonts w:hint="eastAsia" w:ascii="仿宋" w:hAnsi="仿宋" w:eastAsia="仿宋" w:cs="Segoe UI"/>
          <w:color w:val="auto"/>
          <w:sz w:val="24"/>
          <w:szCs w:val="24"/>
          <w:u w:val="single"/>
          <w:shd w:val="clear" w:color="auto" w:fill="FFFFFF"/>
        </w:rPr>
        <w:t xml:space="preserve"> </w:t>
      </w:r>
      <w:r>
        <w:rPr>
          <w:rFonts w:ascii="仿宋" w:hAnsi="仿宋" w:eastAsia="仿宋" w:cs="Segoe UI"/>
          <w:color w:val="auto"/>
          <w:sz w:val="24"/>
          <w:szCs w:val="24"/>
          <w:u w:val="single"/>
          <w:shd w:val="clear" w:color="auto" w:fill="FFFFFF"/>
        </w:rPr>
        <w:t xml:space="preserve">                                               </w:t>
      </w:r>
      <w:r>
        <w:rPr>
          <w:rFonts w:ascii="仿宋" w:hAnsi="仿宋" w:eastAsia="仿宋" w:cs="Segoe UI"/>
          <w:color w:val="auto"/>
          <w:sz w:val="24"/>
          <w:szCs w:val="24"/>
          <w:shd w:val="clear" w:color="auto" w:fill="FFFFFF"/>
        </w:rPr>
        <w:t>服务项目</w:t>
      </w:r>
    </w:p>
    <w:p w14:paraId="3CE6A6CF">
      <w:pPr>
        <w:pStyle w:val="6"/>
        <w:shd w:val="clear" w:color="auto" w:fill="FFFFFF"/>
        <w:spacing w:before="0" w:beforeAutospacing="0" w:after="0" w:afterAutospacing="0" w:line="520" w:lineRule="exact"/>
        <w:contextualSpacing/>
        <w:rPr>
          <w:rFonts w:ascii="仿宋" w:hAnsi="仿宋" w:eastAsia="仿宋" w:cs="Segoe UI"/>
          <w:color w:val="auto"/>
        </w:rPr>
      </w:pPr>
      <w:r>
        <w:rPr>
          <w:rFonts w:ascii="仿宋" w:hAnsi="仿宋" w:eastAsia="仿宋" w:cs="Segoe UI"/>
          <w:bCs/>
          <w:color w:val="auto"/>
        </w:rPr>
        <w:t>评审原则：</w:t>
      </w:r>
      <w:r>
        <w:rPr>
          <w:rFonts w:ascii="Calibri" w:hAnsi="Calibri" w:eastAsia="仿宋" w:cs="Calibri"/>
          <w:color w:val="auto"/>
        </w:rPr>
        <w:t> </w:t>
      </w:r>
      <w:r>
        <w:rPr>
          <w:rFonts w:ascii="仿宋" w:hAnsi="仿宋" w:eastAsia="仿宋" w:cs="Segoe UI"/>
          <w:color w:val="auto"/>
        </w:rPr>
        <w:t>以下</w:t>
      </w:r>
      <w:r>
        <w:rPr>
          <w:rFonts w:hint="eastAsia" w:ascii="仿宋" w:hAnsi="仿宋" w:eastAsia="仿宋" w:cs="Segoe UI"/>
          <w:color w:val="auto"/>
        </w:rPr>
        <w:t>九</w:t>
      </w:r>
      <w:r>
        <w:rPr>
          <w:rFonts w:ascii="仿宋" w:hAnsi="仿宋" w:eastAsia="仿宋" w:cs="Segoe UI"/>
          <w:color w:val="auto"/>
        </w:rPr>
        <w:t>项审查中，任一参选人有任一项结论为“不通过”，则其资格性审查总体结论为“不通过”，不得进入后续评审。</w:t>
      </w:r>
    </w:p>
    <w:tbl>
      <w:tblPr>
        <w:tblStyle w:val="4"/>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14968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A8B4EA7">
            <w:pPr>
              <w:tabs>
                <w:tab w:val="left" w:pos="1080"/>
              </w:tabs>
              <w:snapToGrid w:val="0"/>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3516003C">
            <w:pPr>
              <w:tabs>
                <w:tab w:val="left" w:pos="1080"/>
              </w:tabs>
              <w:snapToGrid w:val="0"/>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2F2E8A12">
            <w:pPr>
              <w:tabs>
                <w:tab w:val="left" w:pos="1080"/>
              </w:tabs>
              <w:snapToGrid w:val="0"/>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检查内容</w:t>
            </w:r>
          </w:p>
        </w:tc>
      </w:tr>
      <w:tr w14:paraId="5175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CA487CA">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4910FDD6">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2800B538">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供应商为企业（包括合伙企业）的，应提供有效的“营业执照”；</w:t>
            </w:r>
          </w:p>
          <w:p w14:paraId="0AD68D63">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供应商为事业单位的，应提供有效的“事业单位法人证书”；</w:t>
            </w:r>
          </w:p>
          <w:p w14:paraId="3C704568">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供应商是非企业机构的，应提供有效的“执业许可证”、“登记证书”等证明文件；</w:t>
            </w:r>
          </w:p>
          <w:p w14:paraId="6A235E60">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供应商是个体工商户的，应提供有效的“个体工商户营业执照”；</w:t>
            </w:r>
          </w:p>
          <w:p w14:paraId="0952C6E2">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供应商是自然人的，应提供有效的自然人身份证明。</w:t>
            </w:r>
          </w:p>
          <w:p w14:paraId="7949CDBA">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A9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26E028E">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1F72C133">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D93667D">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提供了符合比选文件要求的《比选前承诺书》。</w:t>
            </w:r>
          </w:p>
        </w:tc>
      </w:tr>
      <w:tr w14:paraId="2FF2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0248A9A">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212FD5CE">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79D93EA8">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提供了符合比选文件要求的《供应商资格声明书》。</w:t>
            </w:r>
          </w:p>
        </w:tc>
      </w:tr>
      <w:tr w14:paraId="14C3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B0FE220">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13C7615A">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6FC2FD81">
            <w:pPr>
              <w:tabs>
                <w:tab w:val="left" w:pos="1080"/>
              </w:tabs>
              <w:snapToGrid w:val="0"/>
              <w:rPr>
                <w:rFonts w:ascii="仿宋" w:hAnsi="仿宋" w:eastAsia="仿宋" w:cs="Times New Roman"/>
                <w:color w:val="auto"/>
                <w:sz w:val="24"/>
                <w:szCs w:val="24"/>
              </w:rPr>
            </w:pPr>
            <w:r>
              <w:rPr>
                <w:rFonts w:hint="eastAsia" w:ascii="仿宋" w:hAnsi="仿宋" w:eastAsia="仿宋" w:cs="Times New Roman"/>
                <w:color w:val="auto"/>
                <w:sz w:val="24"/>
                <w:szCs w:val="24"/>
              </w:rPr>
              <w:t>1）参加本次比选活动前三年内，在经营活动中无重大违法记录（须提供加盖公章的书面声明）。</w:t>
            </w:r>
          </w:p>
          <w:p w14:paraId="44D1A596">
            <w:pPr>
              <w:tabs>
                <w:tab w:val="left" w:pos="1080"/>
              </w:tabs>
              <w:snapToGrid w:val="0"/>
              <w:rPr>
                <w:rFonts w:ascii="仿宋" w:hAnsi="仿宋" w:eastAsia="仿宋" w:cs="Times New Roman"/>
                <w:color w:val="auto"/>
                <w:sz w:val="24"/>
                <w:szCs w:val="24"/>
              </w:rPr>
            </w:pPr>
            <w:r>
              <w:rPr>
                <w:rFonts w:hint="eastAsia" w:ascii="仿宋" w:hAnsi="仿宋" w:eastAsia="仿宋" w:cs="Times New Roman"/>
                <w:color w:val="auto"/>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7403BC1D">
            <w:pPr>
              <w:tabs>
                <w:tab w:val="left" w:pos="1080"/>
              </w:tabs>
              <w:snapToGrid w:val="0"/>
              <w:rPr>
                <w:rFonts w:ascii="仿宋" w:hAnsi="仿宋" w:eastAsia="仿宋" w:cs="Times New Roman"/>
                <w:color w:val="auto"/>
                <w:sz w:val="24"/>
                <w:szCs w:val="24"/>
              </w:rPr>
            </w:pPr>
            <w:r>
              <w:rPr>
                <w:rFonts w:hint="eastAsia" w:ascii="仿宋" w:hAnsi="仿宋" w:eastAsia="仿宋" w:cs="Times New Roman"/>
                <w:color w:val="auto"/>
                <w:sz w:val="24"/>
                <w:szCs w:val="24"/>
              </w:rPr>
              <w:t>3）在“中国政府采购网”（www.ccgp.gov.cn）未被列入政府采购严重违法失信行为记录名单（处罚期限尚未届满的）（须提供公告发布日后查询结果的网页截图并加盖公章）。</w:t>
            </w:r>
          </w:p>
        </w:tc>
      </w:tr>
      <w:tr w14:paraId="54CD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EEFDE71">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144E04F0">
            <w:pPr>
              <w:tabs>
                <w:tab w:val="left" w:pos="1080"/>
              </w:tabs>
              <w:snapToGrid w:val="0"/>
              <w:jc w:val="center"/>
              <w:rPr>
                <w:rFonts w:ascii="仿宋" w:hAnsi="仿宋" w:eastAsia="仿宋" w:cs="Times New Roman"/>
                <w:color w:val="auto"/>
                <w:sz w:val="24"/>
                <w:szCs w:val="24"/>
              </w:rPr>
            </w:pPr>
            <w:r>
              <w:rPr>
                <w:rFonts w:hint="eastAsia" w:ascii="仿宋" w:hAnsi="仿宋" w:eastAsia="仿宋" w:cs="仿宋"/>
                <w:color w:val="auto"/>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44ACA0CF">
            <w:pPr>
              <w:tabs>
                <w:tab w:val="left" w:pos="1080"/>
              </w:tabs>
              <w:snapToGrid w:val="0"/>
              <w:jc w:val="left"/>
              <w:rPr>
                <w:rFonts w:ascii="仿宋" w:hAnsi="仿宋" w:eastAsia="仿宋" w:cs="Times New Roman"/>
                <w:color w:val="auto"/>
                <w:sz w:val="24"/>
                <w:szCs w:val="24"/>
              </w:rPr>
            </w:pPr>
            <w:r>
              <w:rPr>
                <w:rFonts w:hint="eastAsia" w:ascii="仿宋" w:hAnsi="仿宋" w:eastAsia="仿宋" w:cs="仿宋"/>
                <w:color w:val="auto"/>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1501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A67EBBD">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77D6B7E7">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308AF9D">
            <w:pPr>
              <w:tabs>
                <w:tab w:val="left" w:pos="1080"/>
              </w:tabs>
              <w:snapToGrid w:val="0"/>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无</w:t>
            </w:r>
          </w:p>
        </w:tc>
      </w:tr>
      <w:tr w14:paraId="5C4B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0DA4E2F">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7ED78A9F">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1963B40">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u w:val="single"/>
              </w:rPr>
              <w:t>拟派技术服务人员需持特种作业操作证（低压电工）（提供证书复印件）</w:t>
            </w:r>
          </w:p>
        </w:tc>
      </w:tr>
      <w:tr w14:paraId="7D6E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86F83F0">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6D6D2C58">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29868C2E">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如有，详见二、投标人的资格要求，提供证明文件的电子件或电子证照。</w:t>
            </w:r>
          </w:p>
        </w:tc>
      </w:tr>
      <w:tr w14:paraId="3913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63886F8">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6A21430E">
            <w:pPr>
              <w:tabs>
                <w:tab w:val="left" w:pos="1080"/>
              </w:tabs>
              <w:snapToGrid w:val="0"/>
              <w:jc w:val="center"/>
              <w:rPr>
                <w:rFonts w:ascii="仿宋" w:hAnsi="仿宋" w:eastAsia="仿宋" w:cs="Times New Roman"/>
                <w:color w:val="auto"/>
                <w:sz w:val="24"/>
                <w:szCs w:val="24"/>
              </w:rPr>
            </w:pPr>
            <w:r>
              <w:rPr>
                <w:rFonts w:hint="eastAsia" w:ascii="仿宋" w:hAnsi="仿宋" w:eastAsia="仿宋" w:cs="Times New Roman"/>
                <w:color w:val="auto"/>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6BD1CF4B">
            <w:pPr>
              <w:tabs>
                <w:tab w:val="left" w:pos="1080"/>
              </w:tabs>
              <w:snapToGrid w:val="0"/>
              <w:jc w:val="left"/>
              <w:rPr>
                <w:rFonts w:ascii="仿宋" w:hAnsi="仿宋" w:eastAsia="仿宋" w:cs="Times New Roman"/>
                <w:color w:val="auto"/>
                <w:sz w:val="24"/>
                <w:szCs w:val="24"/>
              </w:rPr>
            </w:pPr>
            <w:r>
              <w:rPr>
                <w:rFonts w:hint="eastAsia" w:ascii="仿宋" w:hAnsi="仿宋" w:eastAsia="仿宋" w:cs="Times New Roman"/>
                <w:color w:val="auto"/>
                <w:sz w:val="24"/>
                <w:szCs w:val="24"/>
              </w:rPr>
              <w:t>法律、行政法规规定的其他条件</w:t>
            </w:r>
          </w:p>
        </w:tc>
      </w:tr>
    </w:tbl>
    <w:p w14:paraId="2C467D28">
      <w:pPr>
        <w:widowControl/>
        <w:shd w:val="clear" w:color="auto" w:fill="FFFFFF"/>
        <w:spacing w:line="520" w:lineRule="exact"/>
        <w:contextualSpacing/>
        <w:rPr>
          <w:rFonts w:ascii="仿宋" w:hAnsi="仿宋" w:eastAsia="仿宋" w:cs="Segoe UI"/>
          <w:b/>
          <w:bCs/>
          <w:color w:val="auto"/>
          <w:sz w:val="32"/>
          <w:szCs w:val="32"/>
        </w:rPr>
      </w:pPr>
    </w:p>
    <w:p w14:paraId="2E1E3BA7">
      <w:pPr>
        <w:rPr>
          <w:rFonts w:ascii="仿宋" w:hAnsi="仿宋" w:eastAsia="仿宋" w:cs="Segoe UI"/>
          <w:bCs/>
          <w:color w:val="auto"/>
          <w:kern w:val="0"/>
          <w:szCs w:val="21"/>
        </w:rPr>
      </w:pPr>
      <w:r>
        <w:rPr>
          <w:rFonts w:ascii="仿宋" w:hAnsi="仿宋" w:eastAsia="仿宋" w:cs="Segoe UI"/>
          <w:bCs/>
          <w:color w:val="auto"/>
          <w:kern w:val="0"/>
          <w:szCs w:val="21"/>
        </w:rPr>
        <w:br w:type="page"/>
      </w:r>
    </w:p>
    <w:p w14:paraId="3CE3D33C">
      <w:pPr>
        <w:widowControl/>
        <w:shd w:val="clear" w:color="auto" w:fill="FFFFFF"/>
        <w:spacing w:line="520" w:lineRule="exact"/>
        <w:contextualSpacing/>
        <w:jc w:val="left"/>
        <w:rPr>
          <w:rFonts w:ascii="仿宋" w:hAnsi="仿宋" w:eastAsia="仿宋" w:cs="Segoe UI"/>
          <w:color w:val="auto"/>
          <w:kern w:val="0"/>
          <w:szCs w:val="21"/>
        </w:rPr>
      </w:pPr>
      <w:r>
        <w:rPr>
          <w:rFonts w:ascii="仿宋" w:hAnsi="仿宋" w:eastAsia="仿宋" w:cs="Segoe UI"/>
          <w:bCs/>
          <w:color w:val="auto"/>
          <w:kern w:val="0"/>
          <w:szCs w:val="21"/>
        </w:rPr>
        <w:t>资格性审查总体结论记录表</w:t>
      </w:r>
    </w:p>
    <w:p w14:paraId="4AB84E7C">
      <w:pPr>
        <w:widowControl/>
        <w:shd w:val="clear" w:color="auto" w:fill="FFFFFF"/>
        <w:spacing w:line="520" w:lineRule="exact"/>
        <w:contextualSpacing/>
        <w:jc w:val="left"/>
        <w:rPr>
          <w:rFonts w:ascii="仿宋" w:hAnsi="仿宋" w:eastAsia="仿宋" w:cs="Segoe UI"/>
          <w:color w:val="auto"/>
          <w:kern w:val="0"/>
          <w:szCs w:val="21"/>
        </w:rPr>
      </w:pPr>
      <w:r>
        <w:rPr>
          <w:rFonts w:ascii="仿宋" w:hAnsi="仿宋" w:eastAsia="仿宋" w:cs="Segoe UI"/>
          <w:bCs/>
          <w:color w:val="auto"/>
          <w:kern w:val="0"/>
          <w:szCs w:val="21"/>
        </w:rPr>
        <w:t>评审员填写指引：</w:t>
      </w:r>
    </w:p>
    <w:p w14:paraId="22A7CAE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rPr>
      </w:pPr>
      <w:r>
        <w:rPr>
          <w:rFonts w:ascii="仿宋" w:hAnsi="仿宋" w:eastAsia="仿宋" w:cs="Segoe UI"/>
          <w:color w:val="auto"/>
          <w:kern w:val="0"/>
          <w:szCs w:val="21"/>
        </w:rPr>
        <w:t>请根据上表对每家参选人进行逐项审查，并在评审会</w:t>
      </w:r>
      <w:bookmarkStart w:id="0" w:name="_GoBack"/>
      <w:bookmarkEnd w:id="0"/>
      <w:r>
        <w:rPr>
          <w:rFonts w:ascii="仿宋" w:hAnsi="仿宋" w:eastAsia="仿宋" w:cs="Segoe UI"/>
          <w:color w:val="auto"/>
          <w:kern w:val="0"/>
          <w:szCs w:val="21"/>
        </w:rPr>
        <w:t>议记录中载明各分项结论。</w:t>
      </w:r>
    </w:p>
    <w:p w14:paraId="310BF7D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rPr>
      </w:pPr>
      <w:r>
        <w:rPr>
          <w:rFonts w:ascii="仿宋" w:hAnsi="仿宋" w:eastAsia="仿宋" w:cs="Segoe UI"/>
          <w:color w:val="auto"/>
          <w:kern w:val="0"/>
          <w:szCs w:val="21"/>
        </w:rPr>
        <w:t>完成逐项审查后，根据评审原则（有一项不通过则总体不通过），在本表记录总体结论。</w:t>
      </w:r>
    </w:p>
    <w:p w14:paraId="24388DE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kern w:val="0"/>
          <w:szCs w:val="21"/>
        </w:rPr>
      </w:pPr>
      <w:r>
        <w:rPr>
          <w:rFonts w:ascii="仿宋" w:hAnsi="仿宋" w:eastAsia="仿宋" w:cs="Segoe UI"/>
          <w:color w:val="auto"/>
          <w:kern w:val="0"/>
          <w:szCs w:val="21"/>
        </w:rPr>
        <w:t>对结论为“不通过”的参选人，必须在“不通过原因说明”栏中，清晰、具体地注明所违反的审查项目序号及事实依据。</w:t>
      </w:r>
    </w:p>
    <w:tbl>
      <w:tblPr>
        <w:tblStyle w:val="4"/>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82042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513F1555">
            <w:pPr>
              <w:widowControl/>
              <w:spacing w:line="520" w:lineRule="exact"/>
              <w:contextualSpacing/>
              <w:jc w:val="left"/>
              <w:rPr>
                <w:rFonts w:ascii="仿宋" w:hAnsi="仿宋" w:eastAsia="仿宋" w:cs="宋体"/>
                <w:bCs/>
                <w:color w:val="auto"/>
                <w:kern w:val="0"/>
                <w:szCs w:val="21"/>
              </w:rPr>
            </w:pPr>
            <w:r>
              <w:rPr>
                <w:rFonts w:ascii="仿宋" w:hAnsi="仿宋" w:eastAsia="仿宋" w:cs="宋体"/>
                <w:bCs/>
                <w:color w:val="auto"/>
                <w:kern w:val="0"/>
                <w:szCs w:val="21"/>
              </w:rPr>
              <w:t>序号</w:t>
            </w:r>
          </w:p>
        </w:tc>
        <w:tc>
          <w:tcPr>
            <w:tcW w:w="3828" w:type="dxa"/>
            <w:tcMar>
              <w:top w:w="150" w:type="dxa"/>
              <w:left w:w="240" w:type="dxa"/>
              <w:bottom w:w="150" w:type="dxa"/>
              <w:right w:w="240" w:type="dxa"/>
            </w:tcMar>
            <w:vAlign w:val="center"/>
          </w:tcPr>
          <w:p w14:paraId="261E70D7">
            <w:pPr>
              <w:widowControl/>
              <w:spacing w:line="520" w:lineRule="exact"/>
              <w:contextualSpacing/>
              <w:jc w:val="left"/>
              <w:rPr>
                <w:rFonts w:ascii="仿宋" w:hAnsi="仿宋" w:eastAsia="仿宋" w:cs="宋体"/>
                <w:bCs/>
                <w:color w:val="auto"/>
                <w:kern w:val="0"/>
                <w:szCs w:val="21"/>
              </w:rPr>
            </w:pPr>
            <w:r>
              <w:rPr>
                <w:rFonts w:ascii="仿宋" w:hAnsi="仿宋" w:eastAsia="仿宋" w:cs="宋体"/>
                <w:bCs/>
                <w:color w:val="auto"/>
                <w:kern w:val="0"/>
                <w:szCs w:val="21"/>
              </w:rPr>
              <w:t>参选人名称</w:t>
            </w:r>
          </w:p>
        </w:tc>
        <w:tc>
          <w:tcPr>
            <w:tcW w:w="1842" w:type="dxa"/>
            <w:tcMar>
              <w:top w:w="150" w:type="dxa"/>
              <w:left w:w="240" w:type="dxa"/>
              <w:bottom w:w="150" w:type="dxa"/>
              <w:right w:w="240" w:type="dxa"/>
            </w:tcMar>
            <w:vAlign w:val="center"/>
          </w:tcPr>
          <w:p w14:paraId="1627A3FD">
            <w:pPr>
              <w:widowControl/>
              <w:spacing w:line="520" w:lineRule="exact"/>
              <w:contextualSpacing/>
              <w:jc w:val="left"/>
              <w:rPr>
                <w:rFonts w:ascii="仿宋" w:hAnsi="仿宋" w:eastAsia="仿宋" w:cs="宋体"/>
                <w:bCs/>
                <w:color w:val="auto"/>
                <w:kern w:val="0"/>
                <w:szCs w:val="21"/>
              </w:rPr>
            </w:pPr>
            <w:r>
              <w:rPr>
                <w:rFonts w:ascii="仿宋" w:hAnsi="仿宋" w:eastAsia="仿宋" w:cs="宋体"/>
                <w:bCs/>
                <w:color w:val="auto"/>
                <w:kern w:val="0"/>
                <w:szCs w:val="21"/>
              </w:rPr>
              <w:t>总体审查结论</w:t>
            </w:r>
          </w:p>
        </w:tc>
        <w:tc>
          <w:tcPr>
            <w:tcW w:w="3402" w:type="dxa"/>
            <w:tcMar>
              <w:top w:w="150" w:type="dxa"/>
              <w:left w:w="240" w:type="dxa"/>
              <w:bottom w:w="150" w:type="dxa"/>
              <w:right w:w="240" w:type="dxa"/>
            </w:tcMar>
            <w:vAlign w:val="center"/>
          </w:tcPr>
          <w:p w14:paraId="57F15EC4">
            <w:pPr>
              <w:widowControl/>
              <w:spacing w:line="520" w:lineRule="exact"/>
              <w:contextualSpacing/>
              <w:jc w:val="left"/>
              <w:rPr>
                <w:rFonts w:ascii="仿宋" w:hAnsi="仿宋" w:eastAsia="仿宋" w:cs="宋体"/>
                <w:bCs/>
                <w:color w:val="auto"/>
                <w:kern w:val="0"/>
                <w:szCs w:val="21"/>
              </w:rPr>
            </w:pPr>
            <w:r>
              <w:rPr>
                <w:rFonts w:ascii="仿宋" w:hAnsi="仿宋" w:eastAsia="仿宋" w:cs="宋体"/>
                <w:bCs/>
                <w:color w:val="auto"/>
                <w:kern w:val="0"/>
                <w:szCs w:val="21"/>
              </w:rPr>
              <w:t>不通过原因说明 (仅当结论为“不通过”时填写)</w:t>
            </w:r>
          </w:p>
        </w:tc>
      </w:tr>
      <w:tr w14:paraId="5362C1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309F81E">
            <w:pPr>
              <w:widowControl/>
              <w:spacing w:line="520" w:lineRule="exact"/>
              <w:contextualSpacing/>
              <w:jc w:val="left"/>
              <w:rPr>
                <w:rFonts w:ascii="仿宋" w:hAnsi="仿宋" w:eastAsia="仿宋" w:cs="宋体"/>
                <w:color w:val="auto"/>
                <w:kern w:val="0"/>
                <w:szCs w:val="21"/>
              </w:rPr>
            </w:pPr>
            <w:r>
              <w:rPr>
                <w:rFonts w:ascii="仿宋" w:hAnsi="仿宋" w:eastAsia="仿宋" w:cs="宋体"/>
                <w:color w:val="auto"/>
                <w:kern w:val="0"/>
                <w:szCs w:val="21"/>
              </w:rPr>
              <w:t>1</w:t>
            </w:r>
          </w:p>
        </w:tc>
        <w:tc>
          <w:tcPr>
            <w:tcW w:w="3828" w:type="dxa"/>
            <w:tcMar>
              <w:top w:w="150" w:type="dxa"/>
              <w:left w:w="240" w:type="dxa"/>
              <w:bottom w:w="150" w:type="dxa"/>
              <w:right w:w="240" w:type="dxa"/>
            </w:tcMar>
            <w:vAlign w:val="center"/>
          </w:tcPr>
          <w:p w14:paraId="286C052A">
            <w:pPr>
              <w:widowControl/>
              <w:spacing w:line="520" w:lineRule="exact"/>
              <w:contextualSpacing/>
              <w:jc w:val="left"/>
              <w:rPr>
                <w:rFonts w:ascii="仿宋" w:hAnsi="仿宋" w:eastAsia="仿宋" w:cs="宋体"/>
                <w:color w:val="auto"/>
                <w:kern w:val="0"/>
                <w:szCs w:val="21"/>
              </w:rPr>
            </w:pPr>
          </w:p>
        </w:tc>
        <w:tc>
          <w:tcPr>
            <w:tcW w:w="1842" w:type="dxa"/>
            <w:tcMar>
              <w:top w:w="150" w:type="dxa"/>
              <w:left w:w="240" w:type="dxa"/>
              <w:bottom w:w="150" w:type="dxa"/>
              <w:right w:w="240" w:type="dxa"/>
            </w:tcMar>
            <w:vAlign w:val="center"/>
          </w:tcPr>
          <w:p w14:paraId="3D23213A">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通过 </w:t>
            </w:r>
          </w:p>
          <w:p w14:paraId="6453E701">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不通过</w:t>
            </w:r>
          </w:p>
        </w:tc>
        <w:tc>
          <w:tcPr>
            <w:tcW w:w="3402" w:type="dxa"/>
            <w:tcMar>
              <w:top w:w="150" w:type="dxa"/>
              <w:left w:w="240" w:type="dxa"/>
              <w:bottom w:w="150" w:type="dxa"/>
              <w:right w:w="0" w:type="dxa"/>
            </w:tcMar>
            <w:vAlign w:val="center"/>
          </w:tcPr>
          <w:p w14:paraId="2B4830DB">
            <w:pPr>
              <w:widowControl/>
              <w:spacing w:line="520" w:lineRule="exact"/>
              <w:contextualSpacing/>
              <w:jc w:val="left"/>
              <w:rPr>
                <w:rFonts w:ascii="仿宋" w:hAnsi="仿宋" w:eastAsia="仿宋" w:cs="宋体"/>
                <w:color w:val="auto"/>
                <w:kern w:val="0"/>
                <w:szCs w:val="21"/>
              </w:rPr>
            </w:pPr>
          </w:p>
        </w:tc>
      </w:tr>
      <w:tr w14:paraId="2252E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FC97372">
            <w:pPr>
              <w:widowControl/>
              <w:spacing w:line="520" w:lineRule="exact"/>
              <w:contextualSpacing/>
              <w:jc w:val="left"/>
              <w:rPr>
                <w:rFonts w:ascii="仿宋" w:hAnsi="仿宋" w:eastAsia="仿宋" w:cs="宋体"/>
                <w:color w:val="auto"/>
                <w:kern w:val="0"/>
                <w:szCs w:val="21"/>
              </w:rPr>
            </w:pPr>
            <w:r>
              <w:rPr>
                <w:rFonts w:ascii="仿宋" w:hAnsi="仿宋" w:eastAsia="仿宋" w:cs="宋体"/>
                <w:color w:val="auto"/>
                <w:kern w:val="0"/>
                <w:szCs w:val="21"/>
              </w:rPr>
              <w:t>2</w:t>
            </w:r>
          </w:p>
        </w:tc>
        <w:tc>
          <w:tcPr>
            <w:tcW w:w="3828" w:type="dxa"/>
            <w:tcMar>
              <w:top w:w="150" w:type="dxa"/>
              <w:left w:w="240" w:type="dxa"/>
              <w:bottom w:w="150" w:type="dxa"/>
              <w:right w:w="240" w:type="dxa"/>
            </w:tcMar>
            <w:vAlign w:val="center"/>
          </w:tcPr>
          <w:p w14:paraId="26424A15">
            <w:pPr>
              <w:widowControl/>
              <w:spacing w:line="520" w:lineRule="exact"/>
              <w:contextualSpacing/>
              <w:jc w:val="left"/>
              <w:rPr>
                <w:rFonts w:ascii="仿宋" w:hAnsi="仿宋" w:eastAsia="仿宋" w:cs="宋体"/>
                <w:color w:val="auto"/>
                <w:kern w:val="0"/>
                <w:szCs w:val="21"/>
              </w:rPr>
            </w:pPr>
          </w:p>
        </w:tc>
        <w:tc>
          <w:tcPr>
            <w:tcW w:w="1842" w:type="dxa"/>
            <w:tcMar>
              <w:top w:w="150" w:type="dxa"/>
              <w:left w:w="240" w:type="dxa"/>
              <w:bottom w:w="150" w:type="dxa"/>
              <w:right w:w="240" w:type="dxa"/>
            </w:tcMar>
            <w:vAlign w:val="center"/>
          </w:tcPr>
          <w:p w14:paraId="22C7CAD3">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通过 </w:t>
            </w:r>
          </w:p>
          <w:p w14:paraId="543AA6C4">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不通过</w:t>
            </w:r>
          </w:p>
        </w:tc>
        <w:tc>
          <w:tcPr>
            <w:tcW w:w="3402" w:type="dxa"/>
            <w:tcMar>
              <w:top w:w="150" w:type="dxa"/>
              <w:left w:w="240" w:type="dxa"/>
              <w:bottom w:w="150" w:type="dxa"/>
              <w:right w:w="0" w:type="dxa"/>
            </w:tcMar>
            <w:vAlign w:val="center"/>
          </w:tcPr>
          <w:p w14:paraId="1FF0E71F">
            <w:pPr>
              <w:widowControl/>
              <w:spacing w:line="520" w:lineRule="exact"/>
              <w:contextualSpacing/>
              <w:jc w:val="left"/>
              <w:rPr>
                <w:rFonts w:ascii="仿宋" w:hAnsi="仿宋" w:eastAsia="仿宋" w:cs="宋体"/>
                <w:color w:val="auto"/>
                <w:kern w:val="0"/>
                <w:szCs w:val="21"/>
              </w:rPr>
            </w:pPr>
          </w:p>
        </w:tc>
      </w:tr>
      <w:tr w14:paraId="6D1EA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697FC76">
            <w:pPr>
              <w:widowControl/>
              <w:spacing w:line="520" w:lineRule="exact"/>
              <w:contextualSpacing/>
              <w:jc w:val="left"/>
              <w:rPr>
                <w:rFonts w:ascii="仿宋" w:hAnsi="仿宋" w:eastAsia="仿宋" w:cs="宋体"/>
                <w:color w:val="auto"/>
                <w:kern w:val="0"/>
                <w:szCs w:val="21"/>
              </w:rPr>
            </w:pPr>
            <w:r>
              <w:rPr>
                <w:rFonts w:ascii="仿宋" w:hAnsi="仿宋" w:eastAsia="仿宋" w:cs="宋体"/>
                <w:color w:val="auto"/>
                <w:kern w:val="0"/>
                <w:szCs w:val="21"/>
              </w:rPr>
              <w:t>3</w:t>
            </w:r>
          </w:p>
        </w:tc>
        <w:tc>
          <w:tcPr>
            <w:tcW w:w="3828" w:type="dxa"/>
            <w:tcMar>
              <w:top w:w="150" w:type="dxa"/>
              <w:left w:w="240" w:type="dxa"/>
              <w:bottom w:w="150" w:type="dxa"/>
              <w:right w:w="240" w:type="dxa"/>
            </w:tcMar>
            <w:vAlign w:val="center"/>
          </w:tcPr>
          <w:p w14:paraId="0EB229EA">
            <w:pPr>
              <w:widowControl/>
              <w:spacing w:line="520" w:lineRule="exact"/>
              <w:contextualSpacing/>
              <w:jc w:val="left"/>
              <w:rPr>
                <w:rFonts w:ascii="仿宋" w:hAnsi="仿宋" w:eastAsia="仿宋" w:cs="宋体"/>
                <w:color w:val="auto"/>
                <w:kern w:val="0"/>
                <w:szCs w:val="21"/>
              </w:rPr>
            </w:pPr>
          </w:p>
        </w:tc>
        <w:tc>
          <w:tcPr>
            <w:tcW w:w="1842" w:type="dxa"/>
            <w:tcMar>
              <w:top w:w="150" w:type="dxa"/>
              <w:left w:w="240" w:type="dxa"/>
              <w:bottom w:w="150" w:type="dxa"/>
              <w:right w:w="240" w:type="dxa"/>
            </w:tcMar>
            <w:vAlign w:val="center"/>
          </w:tcPr>
          <w:p w14:paraId="434B15D5">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通过 </w:t>
            </w:r>
          </w:p>
          <w:p w14:paraId="4A4F677A">
            <w:pPr>
              <w:widowControl/>
              <w:spacing w:line="520" w:lineRule="exact"/>
              <w:contextualSpacing/>
              <w:jc w:val="left"/>
              <w:rPr>
                <w:rFonts w:ascii="仿宋" w:hAnsi="仿宋" w:eastAsia="仿宋" w:cs="宋体"/>
                <w:color w:val="auto"/>
                <w:kern w:val="0"/>
                <w:szCs w:val="21"/>
              </w:rPr>
            </w:pPr>
            <w:r>
              <w:rPr>
                <w:rFonts w:ascii="Segoe UI Symbol" w:hAnsi="Segoe UI Symbol" w:eastAsia="仿宋" w:cs="Segoe UI Symbol"/>
                <w:color w:val="auto"/>
                <w:kern w:val="0"/>
                <w:szCs w:val="21"/>
              </w:rPr>
              <w:t>☐</w:t>
            </w:r>
            <w:r>
              <w:rPr>
                <w:rFonts w:ascii="仿宋" w:hAnsi="仿宋" w:eastAsia="仿宋" w:cs="宋体"/>
                <w:color w:val="auto"/>
                <w:kern w:val="0"/>
                <w:szCs w:val="21"/>
              </w:rPr>
              <w:t xml:space="preserve"> 不通过</w:t>
            </w:r>
          </w:p>
        </w:tc>
        <w:tc>
          <w:tcPr>
            <w:tcW w:w="3402" w:type="dxa"/>
            <w:tcMar>
              <w:top w:w="150" w:type="dxa"/>
              <w:left w:w="240" w:type="dxa"/>
              <w:bottom w:w="150" w:type="dxa"/>
              <w:right w:w="0" w:type="dxa"/>
            </w:tcMar>
            <w:vAlign w:val="center"/>
          </w:tcPr>
          <w:p w14:paraId="26144C55">
            <w:pPr>
              <w:widowControl/>
              <w:spacing w:line="520" w:lineRule="exact"/>
              <w:contextualSpacing/>
              <w:jc w:val="left"/>
              <w:rPr>
                <w:rFonts w:ascii="仿宋" w:hAnsi="仿宋" w:eastAsia="仿宋" w:cs="宋体"/>
                <w:color w:val="auto"/>
                <w:kern w:val="0"/>
                <w:szCs w:val="21"/>
              </w:rPr>
            </w:pPr>
          </w:p>
        </w:tc>
      </w:tr>
      <w:tr w14:paraId="2B1F4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5D0903C">
            <w:pPr>
              <w:widowControl/>
              <w:spacing w:line="520" w:lineRule="exact"/>
              <w:contextualSpacing/>
              <w:jc w:val="left"/>
              <w:rPr>
                <w:rFonts w:ascii="仿宋" w:hAnsi="仿宋" w:eastAsia="仿宋" w:cs="宋体"/>
                <w:color w:val="auto"/>
                <w:kern w:val="0"/>
                <w:szCs w:val="21"/>
              </w:rPr>
            </w:pPr>
            <w:r>
              <w:rPr>
                <w:rFonts w:ascii="仿宋" w:hAnsi="仿宋" w:eastAsia="仿宋" w:cs="宋体"/>
                <w:color w:val="auto"/>
                <w:kern w:val="0"/>
                <w:szCs w:val="21"/>
              </w:rPr>
              <w:t>…</w:t>
            </w:r>
          </w:p>
        </w:tc>
        <w:tc>
          <w:tcPr>
            <w:tcW w:w="3828" w:type="dxa"/>
            <w:tcMar>
              <w:top w:w="150" w:type="dxa"/>
              <w:left w:w="240" w:type="dxa"/>
              <w:bottom w:w="150" w:type="dxa"/>
              <w:right w:w="240" w:type="dxa"/>
            </w:tcMar>
            <w:vAlign w:val="center"/>
          </w:tcPr>
          <w:p w14:paraId="11B79093">
            <w:pPr>
              <w:widowControl/>
              <w:spacing w:line="520" w:lineRule="exact"/>
              <w:contextualSpacing/>
              <w:jc w:val="left"/>
              <w:rPr>
                <w:rFonts w:ascii="仿宋" w:hAnsi="仿宋" w:eastAsia="仿宋" w:cs="宋体"/>
                <w:color w:val="auto"/>
                <w:kern w:val="0"/>
                <w:szCs w:val="21"/>
              </w:rPr>
            </w:pPr>
            <w:r>
              <w:rPr>
                <w:rFonts w:ascii="仿宋" w:hAnsi="仿宋" w:eastAsia="仿宋" w:cs="宋体"/>
                <w:color w:val="auto"/>
                <w:kern w:val="0"/>
                <w:szCs w:val="21"/>
              </w:rPr>
              <w:t>（可根据实际参选人数添加行）</w:t>
            </w:r>
          </w:p>
        </w:tc>
        <w:tc>
          <w:tcPr>
            <w:tcW w:w="1842" w:type="dxa"/>
            <w:tcMar>
              <w:top w:w="150" w:type="dxa"/>
              <w:left w:w="240" w:type="dxa"/>
              <w:bottom w:w="150" w:type="dxa"/>
              <w:right w:w="240" w:type="dxa"/>
            </w:tcMar>
            <w:vAlign w:val="center"/>
          </w:tcPr>
          <w:p w14:paraId="5BF12FA0">
            <w:pPr>
              <w:widowControl/>
              <w:spacing w:line="520" w:lineRule="exact"/>
              <w:contextualSpacing/>
              <w:jc w:val="left"/>
              <w:rPr>
                <w:rFonts w:ascii="仿宋" w:hAnsi="仿宋" w:eastAsia="仿宋" w:cs="宋体"/>
                <w:color w:val="auto"/>
                <w:kern w:val="0"/>
                <w:szCs w:val="21"/>
              </w:rPr>
            </w:pPr>
          </w:p>
        </w:tc>
        <w:tc>
          <w:tcPr>
            <w:tcW w:w="3402" w:type="dxa"/>
            <w:tcMar>
              <w:top w:w="150" w:type="dxa"/>
              <w:left w:w="240" w:type="dxa"/>
              <w:bottom w:w="150" w:type="dxa"/>
              <w:right w:w="0" w:type="dxa"/>
            </w:tcMar>
            <w:vAlign w:val="center"/>
          </w:tcPr>
          <w:p w14:paraId="2816E303">
            <w:pPr>
              <w:widowControl/>
              <w:spacing w:line="520" w:lineRule="exact"/>
              <w:contextualSpacing/>
              <w:jc w:val="left"/>
              <w:rPr>
                <w:rFonts w:ascii="仿宋" w:hAnsi="仿宋" w:eastAsia="仿宋" w:cs="Times New Roman"/>
                <w:color w:val="auto"/>
                <w:kern w:val="0"/>
                <w:szCs w:val="21"/>
              </w:rPr>
            </w:pPr>
          </w:p>
        </w:tc>
      </w:tr>
    </w:tbl>
    <w:p w14:paraId="79A97205">
      <w:pPr>
        <w:widowControl/>
        <w:shd w:val="clear" w:color="auto" w:fill="FFFFFF"/>
        <w:spacing w:line="520" w:lineRule="exact"/>
        <w:contextualSpacing/>
        <w:jc w:val="left"/>
        <w:rPr>
          <w:rFonts w:ascii="仿宋" w:hAnsi="仿宋" w:eastAsia="仿宋" w:cs="Segoe UI"/>
          <w:color w:val="auto"/>
          <w:kern w:val="0"/>
          <w:szCs w:val="21"/>
        </w:rPr>
      </w:pPr>
      <w:r>
        <w:rPr>
          <w:rFonts w:ascii="仿宋" w:hAnsi="仿宋" w:eastAsia="仿宋" w:cs="Segoe UI"/>
          <w:bCs/>
          <w:color w:val="auto"/>
          <w:kern w:val="0"/>
          <w:szCs w:val="21"/>
        </w:rPr>
        <w:t>评审委员会确认：</w:t>
      </w:r>
      <w:r>
        <w:rPr>
          <w:rFonts w:ascii="仿宋" w:hAnsi="仿宋" w:eastAsia="仿宋" w:cs="Segoe UI"/>
          <w:color w:val="auto"/>
          <w:kern w:val="0"/>
          <w:szCs w:val="21"/>
        </w:rPr>
        <w:br w:type="textWrapping"/>
      </w:r>
      <w:r>
        <w:rPr>
          <w:rFonts w:ascii="仿宋" w:hAnsi="仿宋" w:eastAsia="仿宋" w:cs="Segoe UI"/>
          <w:color w:val="auto"/>
          <w:kern w:val="0"/>
          <w:szCs w:val="21"/>
        </w:rPr>
        <w:t>我们确认，已根据比选文件规定的资格要求，对所有参选人进行了公平、公正的审查，并依据评审原则形成上述总体结论。</w:t>
      </w:r>
    </w:p>
    <w:p w14:paraId="74468A61">
      <w:r>
        <w:rPr>
          <w:rFonts w:ascii="仿宋" w:hAnsi="仿宋" w:eastAsia="仿宋" w:cs="Segoe UI"/>
          <w:color w:val="auto"/>
          <w:kern w:val="0"/>
          <w:szCs w:val="21"/>
        </w:rPr>
        <w:t>评审员（签字）：__________ __________ __________</w:t>
      </w:r>
      <w:r>
        <w:rPr>
          <w:rFonts w:ascii="仿宋" w:hAnsi="仿宋" w:eastAsia="仿宋" w:cs="Segoe UI"/>
          <w:color w:val="auto"/>
          <w:kern w:val="0"/>
          <w:szCs w:val="21"/>
        </w:rPr>
        <w:br w:type="textWrapping"/>
      </w:r>
      <w:r>
        <w:rPr>
          <w:rFonts w:ascii="仿宋" w:hAnsi="仿宋" w:eastAsia="仿宋" w:cs="Segoe UI"/>
          <w:color w:val="auto"/>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07392"/>
    <w:rsid w:val="08207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customStyle="1" w:styleId="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2026-05-22T05:31:00Z</dcterms:created>
  <dc:creator>Lyn</dc:creator>
  <cp:lastModifiedBy>Lyn</cp:lastModifiedBy>
  <dcterms:modified xsi:type="dcterms:W3CDTF">2026-05-22T05:33:03Z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5E49AEC84A3E4795B26A6880E56E5278_11</vt:lpwstr>
  </property>
  <property fmtid="{D5CDD505-2E9C-101B-9397-08002B2CF9AE}" pid="4" name="KSOTemplateDocerSaveRecord">
    <vt:lpwstr>eyJoZGlkIjoiMzI1NTc2YjM3YjBhNGRlYTk3YmY1YzQ4ZGRhMmI5ZWUiLCJ1c2VySWQiOiI0MzA1OTk4ODEifQ==</vt:lpwstr>
  </property>
</Properties>
</file>