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21B44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44"/>
          <w:szCs w:val="44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323CAB0B">
      <w:pPr>
        <w:widowControl/>
        <w:shd w:val="clear" w:color="auto" w:fill="FFFFFF"/>
        <w:spacing w:line="520" w:lineRule="exact"/>
        <w:contextualSpacing/>
        <w:jc w:val="left"/>
        <w:rPr>
          <w:rFonts w:ascii="Calibri" w:hAnsi="Calibri" w:eastAsia="仿宋" w:cs="Calibr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</w:t>
      </w:r>
      <w:r>
        <w:rPr>
          <w:rFonts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                                                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以下</w:t>
      </w:r>
      <w:r>
        <w:rPr>
          <w:rFonts w:hint="eastAsia" w:ascii="仿宋" w:hAnsi="仿宋" w:eastAsia="仿宋" w:cs="Segoe UI"/>
          <w:bCs/>
          <w:color w:val="0F1115"/>
          <w:kern w:val="0"/>
          <w:sz w:val="24"/>
          <w:szCs w:val="24"/>
        </w:rPr>
        <w:t>九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项审查中，任一项结论为“不符合”，或其响应存在对项目核心需求的实质性负偏离，则其符合性审查总体结论为“不符合”，不得进入综合评分阶段。</w:t>
      </w:r>
    </w:p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6725"/>
      </w:tblGrid>
      <w:tr w14:paraId="31C45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4304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6E19B">
            <w:pPr>
              <w:autoSpaceDE w:val="0"/>
              <w:spacing w:before="3" w:line="273" w:lineRule="auto"/>
              <w:ind w:left="426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审查因素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BA98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审查内容</w:t>
            </w:r>
          </w:p>
        </w:tc>
      </w:tr>
      <w:tr w14:paraId="197C1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F924E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D4C42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响应书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DD9FE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按比选文件要求提供，且承诺的采购有效期满足比选文件中载明的采购有效期的；</w:t>
            </w:r>
          </w:p>
        </w:tc>
      </w:tr>
      <w:tr w14:paraId="167DE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EF3C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F53C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DD6EF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按比选文件要求提供授权委托书；</w:t>
            </w:r>
          </w:p>
        </w:tc>
      </w:tr>
      <w:tr w14:paraId="196FB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B634C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B112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报价一览表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D9AA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按比选文件要求提供；投标报价未超过比选文件中规定的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采购包预算金额或者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采购包最高限价（或者比选文件另有规定的）；</w:t>
            </w:r>
          </w:p>
        </w:tc>
      </w:tr>
      <w:tr w14:paraId="7A783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7E68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21A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报价合理性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381E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报价合理，或供应商的报价明显低于其他通过符合性审查供应商的报价，有可能影响产品质量或者不能诚信履约的，能够应评审小组要求在规定时间内证明其报价合理性的；</w:t>
            </w:r>
          </w:p>
        </w:tc>
      </w:tr>
      <w:tr w14:paraId="3412C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F3396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30FC1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签署、盖章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F1938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按照比选文件要求签署、盖章的；</w:t>
            </w:r>
          </w:p>
        </w:tc>
      </w:tr>
      <w:tr w14:paraId="20F6B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7A0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A8E01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实质性格式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86168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标记为“实质性格式”的文件均按比选文件要求提供的；</w:t>
            </w:r>
          </w:p>
        </w:tc>
      </w:tr>
      <w:tr w14:paraId="4D0A8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C5C4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1083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采购需求偏离表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900A4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</w:t>
            </w:r>
          </w:p>
        </w:tc>
      </w:tr>
      <w:tr w14:paraId="1A0B0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2ED32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A5D7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串通投标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7D7C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不存在《政府采购货物和服务招标投标管理办法》视为供应商串通投标的情形：（一）不同供应商的响应文件由同一单位或者个人编制；（二）不同供应商委托同一单位或者个人办理投标事宜；（三）不同供应商的响应文件载明的项目管理成员或者联系人员为同一人；（四）不同供应商的响应文件异常一致或者投标报价呈规律性差异；（五）不同供应商的响应文件相互混装；（六）不同供应商的保证金从同一单位或者个人的账户转出；</w:t>
            </w:r>
          </w:p>
        </w:tc>
      </w:tr>
      <w:tr w14:paraId="4B979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2AF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9F12D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其他无效情形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7362B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供响应文件不存在不符合法律、法规和比选文件规定的其他无效情形。</w:t>
            </w:r>
          </w:p>
        </w:tc>
      </w:tr>
    </w:tbl>
    <w:p w14:paraId="06CB2A6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458A9B2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21C02709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42046E37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</w:t>
      </w:r>
      <w:bookmarkStart w:id="0" w:name="_GoBack"/>
      <w:bookmarkEnd w:id="0"/>
      <w:r>
        <w:rPr>
          <w:rFonts w:ascii="仿宋" w:hAnsi="仿宋" w:eastAsia="仿宋" w:cs="Segoe UI"/>
          <w:color w:val="0F1115"/>
          <w:kern w:val="0"/>
          <w:szCs w:val="21"/>
        </w:rPr>
        <w:t>在本表记录总体结论。</w:t>
      </w:r>
    </w:p>
    <w:p w14:paraId="7717EB8A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732"/>
        <w:gridCol w:w="1404"/>
        <w:gridCol w:w="3349"/>
      </w:tblGrid>
      <w:tr w14:paraId="65A2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07CD1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E6516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D0392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25994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3D54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16D6E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E922B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EE4E5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069A10B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E8BA6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E31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2DE48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A6629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FEC58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EC461A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9880E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0F9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99EAF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7FC6B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17112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CF80C6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FC706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5EE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24BB9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193C5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54B0E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DFC2A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51E45FE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1A24D9D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42B08B5F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77EA7"/>
    <w:rsid w:val="1767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2026-06-02T02:11:00Z</dcterms:created>
  <dc:creator>Lyn</dc:creator>
  <cp:lastModifiedBy>Lyn</cp:lastModifiedBy>
  <dcterms:modified xsi:type="dcterms:W3CDTF">2026-06-02T02:13:01Z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03981941A86E4A0185B7870EDF61513C_11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