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F5C93">
      <w:pPr>
        <w:widowControl/>
        <w:shd w:val="clear" w:color="auto" w:fill="FFFFFF"/>
        <w:spacing w:line="520" w:lineRule="exact"/>
        <w:contextualSpacing/>
        <w:rPr>
          <w:rFonts w:hint="eastAsia" w:ascii="仿宋" w:hAnsi="仿宋" w:eastAsia="仿宋" w:cs="Segoe UI"/>
          <w:b/>
          <w:bCs/>
          <w:sz w:val="44"/>
          <w:szCs w:val="44"/>
        </w:rPr>
      </w:pPr>
      <w:r>
        <w:rPr>
          <w:rFonts w:ascii="仿宋" w:hAnsi="仿宋" w:eastAsia="仿宋" w:cs="Segoe UI"/>
          <w:b/>
          <w:bCs/>
          <w:sz w:val="32"/>
          <w:szCs w:val="32"/>
        </w:rPr>
        <w:t>附件</w:t>
      </w:r>
      <w:r>
        <w:rPr>
          <w:rFonts w:hint="eastAsia" w:ascii="仿宋" w:hAnsi="仿宋" w:eastAsia="仿宋" w:cs="Segoe UI"/>
          <w:b/>
          <w:bCs/>
          <w:sz w:val="32"/>
          <w:szCs w:val="32"/>
        </w:rPr>
        <w:t>三</w:t>
      </w:r>
      <w:r>
        <w:rPr>
          <w:rFonts w:ascii="仿宋" w:hAnsi="仿宋" w:eastAsia="仿宋" w:cs="Segoe UI"/>
          <w:b/>
          <w:bCs/>
          <w:sz w:val="32"/>
          <w:szCs w:val="32"/>
        </w:rPr>
        <w:t>：资格性审查表</w:t>
      </w:r>
    </w:p>
    <w:p w14:paraId="2B540A50">
      <w:pPr>
        <w:widowControl/>
        <w:shd w:val="clear" w:color="auto" w:fill="FFFFFF"/>
        <w:spacing w:line="520" w:lineRule="exact"/>
        <w:contextualSpacing/>
        <w:rPr>
          <w:rFonts w:hint="eastAsia" w:ascii="仿宋" w:hAnsi="仿宋" w:eastAsia="仿宋" w:cs="Segoe UI"/>
          <w:bCs/>
          <w:sz w:val="24"/>
          <w:szCs w:val="24"/>
        </w:rPr>
      </w:pPr>
      <w:r>
        <w:rPr>
          <w:rFonts w:ascii="仿宋" w:hAnsi="仿宋" w:eastAsia="仿宋" w:cs="Segoe UI"/>
          <w:bCs/>
          <w:color w:val="0F1115"/>
          <w:sz w:val="24"/>
          <w:szCs w:val="24"/>
          <w:shd w:val="clear" w:color="auto" w:fill="FFFFFF"/>
        </w:rPr>
        <w:t>项目名称：</w:t>
      </w:r>
      <w:r>
        <w:rPr>
          <w:rFonts w:ascii="Calibri" w:hAnsi="Calibri" w:eastAsia="仿宋" w:cs="Calibri"/>
          <w:color w:val="0F1115"/>
          <w:sz w:val="24"/>
          <w:szCs w:val="24"/>
          <w:u w:val="single"/>
          <w:shd w:val="clear" w:color="auto" w:fill="FFFFFF"/>
        </w:rPr>
        <w:t>南里宿舍锅炉运维</w:t>
      </w:r>
      <w:r>
        <w:rPr>
          <w:rFonts w:ascii="仿宋" w:hAnsi="仿宋" w:eastAsia="仿宋" w:cs="Segoe UI"/>
          <w:color w:val="0F1115"/>
          <w:sz w:val="24"/>
          <w:szCs w:val="24"/>
          <w:shd w:val="clear" w:color="auto" w:fill="FFFFFF"/>
        </w:rPr>
        <w:t>服务项目</w:t>
      </w:r>
    </w:p>
    <w:p w14:paraId="18858541">
      <w:pPr>
        <w:pStyle w:val="5"/>
        <w:shd w:val="clear" w:color="auto" w:fill="FFFFFF"/>
        <w:spacing w:before="0" w:beforeAutospacing="0" w:after="0" w:afterAutospacing="0" w:line="520" w:lineRule="exact"/>
        <w:contextualSpacing/>
        <w:rPr>
          <w:rFonts w:hint="eastAsia" w:ascii="仿宋" w:hAnsi="仿宋" w:eastAsia="仿宋" w:cs="Segoe UI"/>
          <w:color w:val="0F1115"/>
        </w:rPr>
      </w:pPr>
      <w:r>
        <w:rPr>
          <w:rFonts w:ascii="仿宋" w:hAnsi="仿宋" w:eastAsia="仿宋" w:cs="Segoe UI"/>
          <w:bCs/>
          <w:color w:val="0F1115"/>
        </w:rPr>
        <w:t>评审原则：</w:t>
      </w:r>
      <w:r>
        <w:rPr>
          <w:rFonts w:ascii="Calibri" w:hAnsi="Calibri" w:eastAsia="仿宋" w:cs="Calibri"/>
          <w:color w:val="0F1115"/>
        </w:rPr>
        <w:t> </w:t>
      </w:r>
      <w:r>
        <w:rPr>
          <w:rFonts w:ascii="仿宋" w:hAnsi="仿宋" w:eastAsia="仿宋" w:cs="Segoe UI"/>
          <w:color w:val="0F1115"/>
        </w:rPr>
        <w:t>以下</w:t>
      </w:r>
      <w:r>
        <w:rPr>
          <w:rFonts w:hint="eastAsia" w:ascii="仿宋" w:hAnsi="仿宋" w:eastAsia="仿宋" w:cs="Segoe UI"/>
          <w:color w:val="0F1115"/>
        </w:rPr>
        <w:t>九</w:t>
      </w:r>
      <w:r>
        <w:rPr>
          <w:rFonts w:ascii="仿宋" w:hAnsi="仿宋" w:eastAsia="仿宋" w:cs="Segoe UI"/>
          <w:color w:val="0F1115"/>
        </w:rPr>
        <w:t>项审查中，任一参选人有任一项结论为“不通过”，则其资格性审查总体结论为“不通过”，不得进入后续评审。</w:t>
      </w:r>
    </w:p>
    <w:tbl>
      <w:tblPr>
        <w:tblStyle w:val="3"/>
        <w:tblpPr w:leftFromText="180" w:rightFromText="180" w:vertAnchor="text" w:horzAnchor="margin" w:tblpXSpec="center" w:tblpY="127"/>
        <w:tblW w:w="583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8"/>
        <w:gridCol w:w="1698"/>
        <w:gridCol w:w="7396"/>
      </w:tblGrid>
      <w:tr w14:paraId="4F437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57"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06906F67">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序号</w:t>
            </w:r>
          </w:p>
        </w:tc>
        <w:tc>
          <w:tcPr>
            <w:tcW w:w="1653" w:type="dxa"/>
            <w:tcBorders>
              <w:top w:val="single" w:color="000000" w:sz="4" w:space="0"/>
              <w:left w:val="single" w:color="000000" w:sz="4" w:space="0"/>
              <w:bottom w:val="single" w:color="000000" w:sz="4" w:space="0"/>
              <w:right w:val="single" w:color="000000" w:sz="4" w:space="0"/>
            </w:tcBorders>
            <w:vAlign w:val="center"/>
          </w:tcPr>
          <w:p w14:paraId="432B77C4">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检查因素</w:t>
            </w:r>
          </w:p>
        </w:tc>
        <w:tc>
          <w:tcPr>
            <w:tcW w:w="7200" w:type="dxa"/>
            <w:tcBorders>
              <w:top w:val="single" w:color="000000" w:sz="4" w:space="0"/>
              <w:left w:val="single" w:color="000000" w:sz="4" w:space="0"/>
              <w:bottom w:val="single" w:color="000000" w:sz="4" w:space="0"/>
              <w:right w:val="single" w:color="000000" w:sz="4" w:space="0"/>
            </w:tcBorders>
            <w:vAlign w:val="center"/>
          </w:tcPr>
          <w:p w14:paraId="33EA5003">
            <w:pPr>
              <w:tabs>
                <w:tab w:val="left" w:pos="1080"/>
              </w:tabs>
              <w:snapToGrid w:val="0"/>
              <w:jc w:val="center"/>
              <w:rPr>
                <w:rFonts w:hint="eastAsia" w:ascii="仿宋" w:hAnsi="仿宋" w:eastAsia="仿宋" w:cs="Times New Roman"/>
                <w:b/>
                <w:color w:val="000000"/>
                <w:sz w:val="24"/>
                <w:szCs w:val="24"/>
              </w:rPr>
            </w:pPr>
            <w:r>
              <w:rPr>
                <w:rFonts w:hint="eastAsia" w:ascii="仿宋" w:hAnsi="仿宋" w:eastAsia="仿宋" w:cs="Times New Roman"/>
                <w:b/>
                <w:color w:val="000000"/>
                <w:sz w:val="24"/>
                <w:szCs w:val="24"/>
              </w:rPr>
              <w:t>检查内容</w:t>
            </w:r>
          </w:p>
        </w:tc>
      </w:tr>
      <w:tr w14:paraId="5960B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14EEDC6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w:t>
            </w:r>
          </w:p>
        </w:tc>
        <w:tc>
          <w:tcPr>
            <w:tcW w:w="1653" w:type="dxa"/>
            <w:tcBorders>
              <w:top w:val="single" w:color="000000" w:sz="4" w:space="0"/>
              <w:left w:val="single" w:color="000000" w:sz="4" w:space="0"/>
              <w:bottom w:val="single" w:color="000000" w:sz="4" w:space="0"/>
              <w:right w:val="single" w:color="000000" w:sz="4" w:space="0"/>
            </w:tcBorders>
            <w:vAlign w:val="center"/>
          </w:tcPr>
          <w:p w14:paraId="610F59E2">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营业执照等证明文件</w:t>
            </w:r>
          </w:p>
        </w:tc>
        <w:tc>
          <w:tcPr>
            <w:tcW w:w="7200" w:type="dxa"/>
            <w:tcBorders>
              <w:top w:val="single" w:color="000000" w:sz="4" w:space="0"/>
              <w:left w:val="single" w:color="000000" w:sz="4" w:space="0"/>
              <w:bottom w:val="single" w:color="000000" w:sz="4" w:space="0"/>
              <w:right w:val="single" w:color="000000" w:sz="4" w:space="0"/>
            </w:tcBorders>
            <w:vAlign w:val="center"/>
          </w:tcPr>
          <w:p w14:paraId="4B8918CD">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供应商为企业（包括合伙企业）的，应提供有效的“营业执照”；</w:t>
            </w:r>
          </w:p>
          <w:p w14:paraId="3E8C3A66">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供应商为事业单位的，应提供有效的“事业单位法人证书”；</w:t>
            </w:r>
          </w:p>
          <w:p w14:paraId="2CABB996">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供应商是非企业机构的，应提供有效的“执业许可证”、“登记证书”等证明文件；</w:t>
            </w:r>
          </w:p>
          <w:p w14:paraId="69DE4CA7">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供应商是个体工商户的，应提供有效的“个体工商户营业执照”；</w:t>
            </w:r>
          </w:p>
          <w:p w14:paraId="3B71C802">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供应商是自然人的，应提供有效的自然人身份证明。</w:t>
            </w:r>
          </w:p>
          <w:p w14:paraId="5CCBA91F">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分支机构参加响应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14:paraId="777C7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F6B0FF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w:t>
            </w:r>
          </w:p>
        </w:tc>
        <w:tc>
          <w:tcPr>
            <w:tcW w:w="1653" w:type="dxa"/>
            <w:tcBorders>
              <w:top w:val="single" w:color="000000" w:sz="4" w:space="0"/>
              <w:left w:val="single" w:color="000000" w:sz="4" w:space="0"/>
              <w:bottom w:val="single" w:color="000000" w:sz="4" w:space="0"/>
              <w:right w:val="single" w:color="000000" w:sz="4" w:space="0"/>
            </w:tcBorders>
            <w:vAlign w:val="center"/>
          </w:tcPr>
          <w:p w14:paraId="0EAC58C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供应商比选前承诺书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0531E602">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提供了符合比选文件要求的《比选前承诺书》。</w:t>
            </w:r>
          </w:p>
        </w:tc>
      </w:tr>
      <w:tr w14:paraId="79D6A8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47FC54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w:t>
            </w:r>
          </w:p>
        </w:tc>
        <w:tc>
          <w:tcPr>
            <w:tcW w:w="1653" w:type="dxa"/>
            <w:tcBorders>
              <w:top w:val="single" w:color="000000" w:sz="4" w:space="0"/>
              <w:left w:val="single" w:color="000000" w:sz="4" w:space="0"/>
              <w:bottom w:val="single" w:color="000000" w:sz="4" w:space="0"/>
              <w:right w:val="single" w:color="000000" w:sz="4" w:space="0"/>
            </w:tcBorders>
            <w:vAlign w:val="center"/>
          </w:tcPr>
          <w:p w14:paraId="4109BA2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供应商资格声明书</w:t>
            </w:r>
          </w:p>
        </w:tc>
        <w:tc>
          <w:tcPr>
            <w:tcW w:w="7200" w:type="dxa"/>
            <w:tcBorders>
              <w:top w:val="single" w:color="000000" w:sz="4" w:space="0"/>
              <w:left w:val="single" w:color="000000" w:sz="4" w:space="0"/>
              <w:bottom w:val="single" w:color="000000" w:sz="4" w:space="0"/>
              <w:right w:val="single" w:color="000000" w:sz="4" w:space="0"/>
            </w:tcBorders>
            <w:vAlign w:val="center"/>
          </w:tcPr>
          <w:p w14:paraId="6717FBF0">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提供了符合比选文件要求的《供应商资格声明书》。</w:t>
            </w:r>
          </w:p>
        </w:tc>
      </w:tr>
      <w:tr w14:paraId="4279B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B6685D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4</w:t>
            </w:r>
          </w:p>
        </w:tc>
        <w:tc>
          <w:tcPr>
            <w:tcW w:w="1653" w:type="dxa"/>
            <w:tcBorders>
              <w:top w:val="single" w:color="000000" w:sz="4" w:space="0"/>
              <w:left w:val="single" w:color="000000" w:sz="4" w:space="0"/>
              <w:bottom w:val="single" w:color="000000" w:sz="4" w:space="0"/>
              <w:right w:val="single" w:color="000000" w:sz="4" w:space="0"/>
            </w:tcBorders>
            <w:vAlign w:val="center"/>
          </w:tcPr>
          <w:p w14:paraId="56543980">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信誉要求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30A1281F">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1）参加本次比选活动前三年内，在经营活动中无重大违法记录（须提供加盖公章的书面声明）。</w:t>
            </w:r>
          </w:p>
          <w:p w14:paraId="0559B4A1">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2）在“信用中国”网站（www.creditchina.gov.cn）未被列入失信被执行人、重大税收违法案件当事人名单及政府采购严重违法失信行为记录名单（须提供公告发布日后查询结果的网页截图并加盖公章）。</w:t>
            </w:r>
          </w:p>
          <w:p w14:paraId="47254005">
            <w:pPr>
              <w:tabs>
                <w:tab w:val="left" w:pos="1080"/>
              </w:tabs>
              <w:snapToGrid w:val="0"/>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3）在“中国政府采购网”（www.ccgp.gov.cn）未被列入政府采购严重违法失信行为记录名单（处罚期限尚未届满的）（须提供公告发布日后查询结果的网页截图并加盖公章）。</w:t>
            </w:r>
          </w:p>
        </w:tc>
      </w:tr>
      <w:tr w14:paraId="38A9A4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F5C8CDF">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5</w:t>
            </w:r>
          </w:p>
        </w:tc>
        <w:tc>
          <w:tcPr>
            <w:tcW w:w="1653" w:type="dxa"/>
            <w:tcBorders>
              <w:top w:val="single" w:color="000000" w:sz="4" w:space="0"/>
              <w:left w:val="single" w:color="000000" w:sz="4" w:space="0"/>
              <w:bottom w:val="single" w:color="000000" w:sz="4" w:space="0"/>
              <w:right w:val="single" w:color="000000" w:sz="4" w:space="0"/>
            </w:tcBorders>
            <w:vAlign w:val="center"/>
          </w:tcPr>
          <w:p w14:paraId="6A68879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法定资质</w:t>
            </w:r>
          </w:p>
        </w:tc>
        <w:tc>
          <w:tcPr>
            <w:tcW w:w="7200" w:type="dxa"/>
            <w:tcBorders>
              <w:top w:val="single" w:color="000000" w:sz="4" w:space="0"/>
              <w:left w:val="single" w:color="000000" w:sz="4" w:space="0"/>
              <w:bottom w:val="single" w:color="000000" w:sz="4" w:space="0"/>
              <w:right w:val="single" w:color="000000" w:sz="4" w:space="0"/>
            </w:tcBorders>
            <w:vAlign w:val="center"/>
          </w:tcPr>
          <w:p w14:paraId="26B4D773">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具有履行合同所必需的</w:t>
            </w:r>
            <w:r>
              <w:rPr>
                <w:rFonts w:hint="eastAsia" w:ascii="仿宋" w:hAnsi="仿宋" w:eastAsia="仿宋" w:cs="Times New Roman"/>
                <w:color w:val="000000"/>
                <w:sz w:val="24"/>
                <w:szCs w:val="24"/>
                <w:u w:val="single"/>
                <w:lang w:val="en-US" w:eastAsia="zh-CN"/>
              </w:rPr>
              <w:t>营业执照经营范围包括供暖服务。</w:t>
            </w:r>
            <w:r>
              <w:rPr>
                <w:rFonts w:hint="eastAsia" w:ascii="仿宋" w:hAnsi="仿宋" w:eastAsia="仿宋" w:cs="Times New Roman"/>
                <w:color w:val="000000"/>
                <w:sz w:val="24"/>
                <w:szCs w:val="24"/>
                <w:u w:val="single"/>
                <w:lang w:eastAsia="zh-CN"/>
              </w:rPr>
              <w:t>所有现场作业人员均持有合法有效的特种设备作业资格证书，能够独立完成锅炉日常运行、巡检、常规维护及突发故障应急处置工作</w:t>
            </w:r>
            <w:r>
              <w:rPr>
                <w:rFonts w:hint="eastAsia" w:ascii="仿宋" w:hAnsi="仿宋" w:eastAsia="仿宋" w:cs="Times New Roman"/>
                <w:color w:val="000000"/>
                <w:sz w:val="24"/>
                <w:szCs w:val="24"/>
              </w:rPr>
              <w:t>能力。须提供加盖公章的书面声明（格式自拟）。</w:t>
            </w:r>
          </w:p>
        </w:tc>
      </w:tr>
      <w:tr w14:paraId="4E32F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7EC9362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6</w:t>
            </w:r>
          </w:p>
        </w:tc>
        <w:tc>
          <w:tcPr>
            <w:tcW w:w="1653" w:type="dxa"/>
            <w:tcBorders>
              <w:top w:val="single" w:color="000000" w:sz="4" w:space="0"/>
              <w:left w:val="single" w:color="000000" w:sz="4" w:space="0"/>
              <w:bottom w:val="single" w:color="000000" w:sz="4" w:space="0"/>
              <w:right w:val="single" w:color="000000" w:sz="4" w:space="0"/>
            </w:tcBorders>
            <w:vAlign w:val="center"/>
          </w:tcPr>
          <w:p w14:paraId="2B0CCB5E">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业绩要求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6F0672E6">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须提供自本比选公告发布之日前三年内至少独立完成</w:t>
            </w:r>
            <w:r>
              <w:rPr>
                <w:rFonts w:ascii="仿宋" w:hAnsi="仿宋" w:eastAsia="仿宋" w:cs="Times New Roman"/>
                <w:color w:val="000000"/>
                <w:sz w:val="24"/>
                <w:szCs w:val="24"/>
              </w:rPr>
              <w:t>1</w:t>
            </w:r>
            <w:r>
              <w:rPr>
                <w:rFonts w:hint="eastAsia" w:ascii="仿宋" w:hAnsi="仿宋" w:eastAsia="仿宋" w:cs="Times New Roman"/>
                <w:color w:val="000000"/>
                <w:sz w:val="24"/>
                <w:szCs w:val="24"/>
              </w:rPr>
              <w:t>个及以上</w:t>
            </w:r>
            <w:r>
              <w:rPr>
                <w:rFonts w:hint="eastAsia" w:ascii="仿宋" w:hAnsi="仿宋" w:eastAsia="仿宋" w:cs="Times New Roman"/>
                <w:color w:val="000000"/>
                <w:sz w:val="24"/>
                <w:szCs w:val="24"/>
                <w:u w:val="single"/>
                <w:lang w:val="en-US" w:eastAsia="zh-CN"/>
              </w:rPr>
              <w:t>同类</w:t>
            </w:r>
            <w:r>
              <w:rPr>
                <w:rFonts w:hint="eastAsia" w:ascii="仿宋" w:hAnsi="仿宋" w:eastAsia="仿宋" w:cs="Times New Roman"/>
                <w:color w:val="000000"/>
                <w:sz w:val="24"/>
                <w:szCs w:val="24"/>
              </w:rPr>
              <w:t>服务项目。须提供合同关键页（至少包含合同封面、服务内容页、合同金额页、双方签字盖章页）及对应的服务验收证明或结算凭证复印件。</w:t>
            </w:r>
          </w:p>
        </w:tc>
      </w:tr>
      <w:tr w14:paraId="330B7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27538B2B">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7</w:t>
            </w:r>
          </w:p>
        </w:tc>
        <w:tc>
          <w:tcPr>
            <w:tcW w:w="1653" w:type="dxa"/>
            <w:tcBorders>
              <w:top w:val="single" w:color="000000" w:sz="4" w:space="0"/>
              <w:left w:val="single" w:color="000000" w:sz="4" w:space="0"/>
              <w:bottom w:val="single" w:color="000000" w:sz="4" w:space="0"/>
              <w:right w:val="single" w:color="000000" w:sz="4" w:space="0"/>
            </w:tcBorders>
            <w:vAlign w:val="center"/>
          </w:tcPr>
          <w:p w14:paraId="0C883069">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人员要求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0C43B473">
            <w:pPr>
              <w:widowControl/>
              <w:shd w:val="clear" w:color="auto" w:fill="FFFFFF"/>
              <w:spacing w:line="520" w:lineRule="exact"/>
              <w:ind w:firstLine="480" w:firstLineChars="200"/>
              <w:contextualSpacing/>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拟派项目值守人员持有有效的《中华人民共和国特种设备作业人员证》（作业项目及代号：工业锅炉司炉G1和锅炉水处理G3）。</w:t>
            </w:r>
          </w:p>
          <w:p w14:paraId="6CB1452E">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（提供证书复印件）</w:t>
            </w:r>
            <w:r>
              <w:rPr>
                <w:rFonts w:hint="eastAsia" w:ascii="仿宋" w:hAnsi="仿宋" w:eastAsia="仿宋" w:cs="Times New Roman"/>
                <w:color w:val="000000"/>
                <w:sz w:val="24"/>
                <w:szCs w:val="24"/>
                <w:u w:val="single"/>
              </w:rPr>
              <w:t xml:space="preserve"> </w:t>
            </w:r>
            <w:r>
              <w:rPr>
                <w:rFonts w:ascii="仿宋" w:hAnsi="仿宋" w:eastAsia="仿宋" w:cs="Times New Roman"/>
                <w:color w:val="000000"/>
                <w:sz w:val="24"/>
                <w:szCs w:val="24"/>
                <w:u w:val="single"/>
              </w:rPr>
              <w:t xml:space="preserve">                                           </w:t>
            </w:r>
          </w:p>
        </w:tc>
      </w:tr>
      <w:tr w14:paraId="18A08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6"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6A289CE1">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8</w:t>
            </w:r>
          </w:p>
        </w:tc>
        <w:tc>
          <w:tcPr>
            <w:tcW w:w="1653" w:type="dxa"/>
            <w:tcBorders>
              <w:top w:val="single" w:color="000000" w:sz="4" w:space="0"/>
              <w:left w:val="single" w:color="000000" w:sz="4" w:space="0"/>
              <w:bottom w:val="single" w:color="000000" w:sz="4" w:space="0"/>
              <w:right w:val="single" w:color="000000" w:sz="4" w:space="0"/>
            </w:tcBorders>
            <w:vAlign w:val="center"/>
          </w:tcPr>
          <w:p w14:paraId="733E6EC6">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本项目的其他特定资格要求</w:t>
            </w:r>
          </w:p>
        </w:tc>
        <w:tc>
          <w:tcPr>
            <w:tcW w:w="7200" w:type="dxa"/>
            <w:tcBorders>
              <w:top w:val="single" w:color="000000" w:sz="4" w:space="0"/>
              <w:left w:val="single" w:color="000000" w:sz="4" w:space="0"/>
              <w:bottom w:val="single" w:color="000000" w:sz="4" w:space="0"/>
              <w:right w:val="single" w:color="000000" w:sz="4" w:space="0"/>
            </w:tcBorders>
            <w:vAlign w:val="center"/>
          </w:tcPr>
          <w:p w14:paraId="44CEBB89">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如有，详见二、投标人的资格要求，提供证明文件的电子件或电子证照。</w:t>
            </w:r>
          </w:p>
        </w:tc>
      </w:tr>
      <w:tr w14:paraId="39B4C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rPr>
        <w:tc>
          <w:tcPr>
            <w:tcW w:w="825" w:type="dxa"/>
            <w:tcBorders>
              <w:top w:val="single" w:color="000000" w:sz="4" w:space="0"/>
              <w:left w:val="single" w:color="000000" w:sz="4" w:space="0"/>
              <w:bottom w:val="single" w:color="000000" w:sz="4" w:space="0"/>
              <w:right w:val="single" w:color="000000" w:sz="4" w:space="0"/>
            </w:tcBorders>
            <w:vAlign w:val="center"/>
          </w:tcPr>
          <w:p w14:paraId="4D923FAA">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9</w:t>
            </w:r>
          </w:p>
        </w:tc>
        <w:tc>
          <w:tcPr>
            <w:tcW w:w="1653" w:type="dxa"/>
            <w:tcBorders>
              <w:top w:val="single" w:color="000000" w:sz="4" w:space="0"/>
              <w:left w:val="single" w:color="000000" w:sz="4" w:space="0"/>
              <w:bottom w:val="single" w:color="000000" w:sz="4" w:space="0"/>
              <w:right w:val="single" w:color="000000" w:sz="4" w:space="0"/>
            </w:tcBorders>
            <w:vAlign w:val="center"/>
          </w:tcPr>
          <w:p w14:paraId="5F6F24A5">
            <w:pPr>
              <w:tabs>
                <w:tab w:val="left" w:pos="1080"/>
              </w:tabs>
              <w:snapToGrid w:val="0"/>
              <w:jc w:val="center"/>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法律、行政法规规定的其他条件（如有）</w:t>
            </w:r>
          </w:p>
        </w:tc>
        <w:tc>
          <w:tcPr>
            <w:tcW w:w="7200" w:type="dxa"/>
            <w:tcBorders>
              <w:top w:val="single" w:color="000000" w:sz="4" w:space="0"/>
              <w:left w:val="single" w:color="000000" w:sz="4" w:space="0"/>
              <w:bottom w:val="single" w:color="000000" w:sz="4" w:space="0"/>
              <w:right w:val="single" w:color="000000" w:sz="4" w:space="0"/>
            </w:tcBorders>
            <w:vAlign w:val="center"/>
          </w:tcPr>
          <w:p w14:paraId="32E4519E">
            <w:pPr>
              <w:tabs>
                <w:tab w:val="left" w:pos="1080"/>
              </w:tabs>
              <w:snapToGrid w:val="0"/>
              <w:jc w:val="left"/>
              <w:rPr>
                <w:rFonts w:hint="eastAsia" w:ascii="仿宋" w:hAnsi="仿宋" w:eastAsia="仿宋" w:cs="Times New Roman"/>
                <w:color w:val="000000"/>
                <w:sz w:val="24"/>
                <w:szCs w:val="24"/>
              </w:rPr>
            </w:pPr>
            <w:r>
              <w:rPr>
                <w:rFonts w:hint="eastAsia" w:ascii="仿宋" w:hAnsi="仿宋" w:eastAsia="仿宋" w:cs="Times New Roman"/>
                <w:color w:val="000000"/>
                <w:sz w:val="24"/>
                <w:szCs w:val="24"/>
              </w:rPr>
              <w:t>法律、行政法规规定的其他条件</w:t>
            </w:r>
          </w:p>
        </w:tc>
      </w:tr>
    </w:tbl>
    <w:p w14:paraId="11D2941B">
      <w:pPr>
        <w:widowControl/>
        <w:shd w:val="clear" w:color="auto" w:fill="FFFFFF"/>
        <w:spacing w:line="520" w:lineRule="exact"/>
        <w:contextualSpacing/>
        <w:rPr>
          <w:rFonts w:hint="eastAsia" w:ascii="仿宋" w:hAnsi="仿宋" w:eastAsia="仿宋" w:cs="Segoe UI"/>
          <w:b/>
          <w:bCs/>
          <w:sz w:val="32"/>
          <w:szCs w:val="32"/>
        </w:rPr>
      </w:pPr>
    </w:p>
    <w:p w14:paraId="019C2369">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资格性审查总体结论记录表</w:t>
      </w:r>
    </w:p>
    <w:p w14:paraId="048A5450">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评审员填写指引：</w:t>
      </w:r>
      <w:bookmarkStart w:id="0" w:name="_GoBack"/>
      <w:bookmarkEnd w:id="0"/>
    </w:p>
    <w:p w14:paraId="6BF5FBB2">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请根据上表对每家参选人进行逐项审查，并在评审会议记录中载明各分项结论。</w:t>
      </w:r>
    </w:p>
    <w:p w14:paraId="2D316591">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完成逐项审查后，根据评审原则（有一项不通过则总体不通过），在本表记录总体结论。</w:t>
      </w:r>
    </w:p>
    <w:p w14:paraId="1ED50B52">
      <w:pPr>
        <w:widowControl/>
        <w:numPr>
          <w:ilvl w:val="0"/>
          <w:numId w:val="1"/>
        </w:numPr>
        <w:shd w:val="clear" w:color="auto" w:fill="FFFFFF"/>
        <w:tabs>
          <w:tab w:val="clear" w:pos="720"/>
        </w:tabs>
        <w:spacing w:line="520" w:lineRule="exact"/>
        <w:ind w:left="0" w:firstLine="0"/>
        <w:contextualSpacing/>
        <w:jc w:val="left"/>
        <w:rPr>
          <w:rFonts w:hint="eastAsia" w:ascii="仿宋" w:hAnsi="仿宋" w:eastAsia="仿宋" w:cs="Segoe UI"/>
          <w:color w:val="0F1115"/>
          <w:kern w:val="0"/>
          <w:szCs w:val="21"/>
        </w:rPr>
      </w:pPr>
      <w:r>
        <w:rPr>
          <w:rFonts w:ascii="仿宋" w:hAnsi="仿宋" w:eastAsia="仿宋" w:cs="Segoe UI"/>
          <w:color w:val="0F1115"/>
          <w:kern w:val="0"/>
          <w:szCs w:val="21"/>
        </w:rPr>
        <w:t>对结论为“不通过”的参选人，必须在“不通过原因说明”栏中，清晰、具体地注明所违反的审查项目序号及事实依据。</w:t>
      </w:r>
    </w:p>
    <w:tbl>
      <w:tblPr>
        <w:tblStyle w:val="3"/>
        <w:tblW w:w="9781" w:type="dxa"/>
        <w:tblInd w:w="-714"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15" w:type="dxa"/>
          <w:left w:w="15" w:type="dxa"/>
          <w:bottom w:w="15" w:type="dxa"/>
          <w:right w:w="15" w:type="dxa"/>
        </w:tblCellMar>
      </w:tblPr>
      <w:tblGrid>
        <w:gridCol w:w="709"/>
        <w:gridCol w:w="3828"/>
        <w:gridCol w:w="1842"/>
        <w:gridCol w:w="3402"/>
      </w:tblGrid>
      <w:tr w14:paraId="2B121F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rPr>
          <w:tblHeader/>
        </w:trPr>
        <w:tc>
          <w:tcPr>
            <w:tcW w:w="709" w:type="dxa"/>
            <w:tcMar>
              <w:top w:w="150" w:type="dxa"/>
              <w:left w:w="0" w:type="dxa"/>
              <w:bottom w:w="150" w:type="dxa"/>
              <w:right w:w="240" w:type="dxa"/>
            </w:tcMar>
            <w:vAlign w:val="center"/>
          </w:tcPr>
          <w:p w14:paraId="0DB93631">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序号</w:t>
            </w:r>
          </w:p>
        </w:tc>
        <w:tc>
          <w:tcPr>
            <w:tcW w:w="3828" w:type="dxa"/>
            <w:tcMar>
              <w:top w:w="150" w:type="dxa"/>
              <w:left w:w="240" w:type="dxa"/>
              <w:bottom w:w="150" w:type="dxa"/>
              <w:right w:w="240" w:type="dxa"/>
            </w:tcMar>
            <w:vAlign w:val="center"/>
          </w:tcPr>
          <w:p w14:paraId="67EA3D45">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参选人名称</w:t>
            </w:r>
          </w:p>
        </w:tc>
        <w:tc>
          <w:tcPr>
            <w:tcW w:w="1842" w:type="dxa"/>
            <w:tcMar>
              <w:top w:w="150" w:type="dxa"/>
              <w:left w:w="240" w:type="dxa"/>
              <w:bottom w:w="150" w:type="dxa"/>
              <w:right w:w="240" w:type="dxa"/>
            </w:tcMar>
            <w:vAlign w:val="center"/>
          </w:tcPr>
          <w:p w14:paraId="4AECB115">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总体审查结论</w:t>
            </w:r>
          </w:p>
        </w:tc>
        <w:tc>
          <w:tcPr>
            <w:tcW w:w="3402" w:type="dxa"/>
            <w:tcMar>
              <w:top w:w="150" w:type="dxa"/>
              <w:left w:w="240" w:type="dxa"/>
              <w:bottom w:w="150" w:type="dxa"/>
              <w:right w:w="240" w:type="dxa"/>
            </w:tcMar>
            <w:vAlign w:val="center"/>
          </w:tcPr>
          <w:p w14:paraId="5F3980F3">
            <w:pPr>
              <w:widowControl/>
              <w:spacing w:line="520" w:lineRule="exact"/>
              <w:contextualSpacing/>
              <w:jc w:val="left"/>
              <w:rPr>
                <w:rFonts w:hint="eastAsia" w:ascii="仿宋" w:hAnsi="仿宋" w:eastAsia="仿宋" w:cs="宋体"/>
                <w:bCs/>
                <w:kern w:val="0"/>
                <w:szCs w:val="21"/>
              </w:rPr>
            </w:pPr>
            <w:r>
              <w:rPr>
                <w:rFonts w:ascii="仿宋" w:hAnsi="仿宋" w:eastAsia="仿宋" w:cs="宋体"/>
                <w:bCs/>
                <w:kern w:val="0"/>
                <w:szCs w:val="21"/>
              </w:rPr>
              <w:t>不通过原因说明 (仅当结论为“不通过”时填写)</w:t>
            </w:r>
          </w:p>
        </w:tc>
      </w:tr>
      <w:tr w14:paraId="05D2CC2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4694FBE">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1</w:t>
            </w:r>
          </w:p>
        </w:tc>
        <w:tc>
          <w:tcPr>
            <w:tcW w:w="3828" w:type="dxa"/>
            <w:tcMar>
              <w:top w:w="150" w:type="dxa"/>
              <w:left w:w="240" w:type="dxa"/>
              <w:bottom w:w="150" w:type="dxa"/>
              <w:right w:w="240" w:type="dxa"/>
            </w:tcMar>
            <w:vAlign w:val="center"/>
          </w:tcPr>
          <w:p w14:paraId="48CD9402">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3EFB66BA">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77E05666">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0BDFDE7F">
            <w:pPr>
              <w:widowControl/>
              <w:spacing w:line="520" w:lineRule="exact"/>
              <w:contextualSpacing/>
              <w:jc w:val="left"/>
              <w:rPr>
                <w:rFonts w:hint="eastAsia" w:ascii="仿宋" w:hAnsi="仿宋" w:eastAsia="仿宋" w:cs="宋体"/>
                <w:kern w:val="0"/>
                <w:szCs w:val="21"/>
              </w:rPr>
            </w:pPr>
          </w:p>
        </w:tc>
      </w:tr>
      <w:tr w14:paraId="7748AF1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1155A126">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2</w:t>
            </w:r>
          </w:p>
        </w:tc>
        <w:tc>
          <w:tcPr>
            <w:tcW w:w="3828" w:type="dxa"/>
            <w:tcMar>
              <w:top w:w="150" w:type="dxa"/>
              <w:left w:w="240" w:type="dxa"/>
              <w:bottom w:w="150" w:type="dxa"/>
              <w:right w:w="240" w:type="dxa"/>
            </w:tcMar>
            <w:vAlign w:val="center"/>
          </w:tcPr>
          <w:p w14:paraId="6F015985">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3776DE10">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61D7D2D5">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35AB174B">
            <w:pPr>
              <w:widowControl/>
              <w:spacing w:line="520" w:lineRule="exact"/>
              <w:contextualSpacing/>
              <w:jc w:val="left"/>
              <w:rPr>
                <w:rFonts w:hint="eastAsia" w:ascii="仿宋" w:hAnsi="仿宋" w:eastAsia="仿宋" w:cs="宋体"/>
                <w:kern w:val="0"/>
                <w:szCs w:val="21"/>
              </w:rPr>
            </w:pPr>
          </w:p>
        </w:tc>
      </w:tr>
      <w:tr w14:paraId="05B733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4303D547">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3</w:t>
            </w:r>
          </w:p>
        </w:tc>
        <w:tc>
          <w:tcPr>
            <w:tcW w:w="3828" w:type="dxa"/>
            <w:tcMar>
              <w:top w:w="150" w:type="dxa"/>
              <w:left w:w="240" w:type="dxa"/>
              <w:bottom w:w="150" w:type="dxa"/>
              <w:right w:w="240" w:type="dxa"/>
            </w:tcMar>
            <w:vAlign w:val="center"/>
          </w:tcPr>
          <w:p w14:paraId="7908B885">
            <w:pPr>
              <w:widowControl/>
              <w:spacing w:line="520" w:lineRule="exact"/>
              <w:contextualSpacing/>
              <w:jc w:val="left"/>
              <w:rPr>
                <w:rFonts w:hint="eastAsia" w:ascii="仿宋" w:hAnsi="仿宋" w:eastAsia="仿宋" w:cs="宋体"/>
                <w:kern w:val="0"/>
                <w:szCs w:val="21"/>
              </w:rPr>
            </w:pPr>
          </w:p>
        </w:tc>
        <w:tc>
          <w:tcPr>
            <w:tcW w:w="1842" w:type="dxa"/>
            <w:tcMar>
              <w:top w:w="150" w:type="dxa"/>
              <w:left w:w="240" w:type="dxa"/>
              <w:bottom w:w="150" w:type="dxa"/>
              <w:right w:w="240" w:type="dxa"/>
            </w:tcMar>
            <w:vAlign w:val="center"/>
          </w:tcPr>
          <w:p w14:paraId="3319B3E7">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通过 </w:t>
            </w:r>
          </w:p>
          <w:p w14:paraId="0A4E84D1">
            <w:pPr>
              <w:widowControl/>
              <w:spacing w:line="520" w:lineRule="exact"/>
              <w:contextualSpacing/>
              <w:jc w:val="left"/>
              <w:rPr>
                <w:rFonts w:hint="eastAsia" w:ascii="仿宋" w:hAnsi="仿宋" w:eastAsia="仿宋" w:cs="宋体"/>
                <w:kern w:val="0"/>
                <w:szCs w:val="21"/>
              </w:rPr>
            </w:pPr>
            <w:r>
              <w:rPr>
                <w:rFonts w:ascii="Segoe UI Symbol" w:hAnsi="Segoe UI Symbol" w:eastAsia="仿宋" w:cs="Segoe UI Symbol"/>
                <w:kern w:val="0"/>
                <w:szCs w:val="21"/>
              </w:rPr>
              <w:t>☐</w:t>
            </w:r>
            <w:r>
              <w:rPr>
                <w:rFonts w:ascii="仿宋" w:hAnsi="仿宋" w:eastAsia="仿宋" w:cs="宋体"/>
                <w:kern w:val="0"/>
                <w:szCs w:val="21"/>
              </w:rPr>
              <w:t xml:space="preserve"> 不通过</w:t>
            </w:r>
          </w:p>
        </w:tc>
        <w:tc>
          <w:tcPr>
            <w:tcW w:w="3402" w:type="dxa"/>
            <w:tcMar>
              <w:top w:w="150" w:type="dxa"/>
              <w:left w:w="240" w:type="dxa"/>
              <w:bottom w:w="150" w:type="dxa"/>
              <w:right w:w="0" w:type="dxa"/>
            </w:tcMar>
            <w:vAlign w:val="center"/>
          </w:tcPr>
          <w:p w14:paraId="488478E8">
            <w:pPr>
              <w:widowControl/>
              <w:spacing w:line="520" w:lineRule="exact"/>
              <w:contextualSpacing/>
              <w:jc w:val="left"/>
              <w:rPr>
                <w:rFonts w:hint="eastAsia" w:ascii="仿宋" w:hAnsi="仿宋" w:eastAsia="仿宋" w:cs="宋体"/>
                <w:kern w:val="0"/>
                <w:szCs w:val="21"/>
              </w:rPr>
            </w:pPr>
          </w:p>
        </w:tc>
      </w:tr>
      <w:tr w14:paraId="1D61A2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15" w:type="dxa"/>
            <w:left w:w="15" w:type="dxa"/>
            <w:bottom w:w="15" w:type="dxa"/>
            <w:right w:w="15" w:type="dxa"/>
          </w:tblCellMar>
        </w:tblPrEx>
        <w:tc>
          <w:tcPr>
            <w:tcW w:w="709" w:type="dxa"/>
            <w:tcMar>
              <w:top w:w="150" w:type="dxa"/>
              <w:left w:w="0" w:type="dxa"/>
              <w:bottom w:w="150" w:type="dxa"/>
              <w:right w:w="240" w:type="dxa"/>
            </w:tcMar>
            <w:vAlign w:val="center"/>
          </w:tcPr>
          <w:p w14:paraId="3980B26B">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w:t>
            </w:r>
          </w:p>
        </w:tc>
        <w:tc>
          <w:tcPr>
            <w:tcW w:w="3828" w:type="dxa"/>
            <w:tcMar>
              <w:top w:w="150" w:type="dxa"/>
              <w:left w:w="240" w:type="dxa"/>
              <w:bottom w:w="150" w:type="dxa"/>
              <w:right w:w="240" w:type="dxa"/>
            </w:tcMar>
            <w:vAlign w:val="center"/>
          </w:tcPr>
          <w:p w14:paraId="0D79A151">
            <w:pPr>
              <w:widowControl/>
              <w:spacing w:line="520" w:lineRule="exact"/>
              <w:contextualSpacing/>
              <w:jc w:val="left"/>
              <w:rPr>
                <w:rFonts w:hint="eastAsia" w:ascii="仿宋" w:hAnsi="仿宋" w:eastAsia="仿宋" w:cs="宋体"/>
                <w:kern w:val="0"/>
                <w:szCs w:val="21"/>
              </w:rPr>
            </w:pPr>
            <w:r>
              <w:rPr>
                <w:rFonts w:ascii="仿宋" w:hAnsi="仿宋" w:eastAsia="仿宋" w:cs="宋体"/>
                <w:kern w:val="0"/>
                <w:szCs w:val="21"/>
              </w:rPr>
              <w:t>（可根据实际参选人数添加行）</w:t>
            </w:r>
          </w:p>
        </w:tc>
        <w:tc>
          <w:tcPr>
            <w:tcW w:w="1842" w:type="dxa"/>
            <w:tcMar>
              <w:top w:w="150" w:type="dxa"/>
              <w:left w:w="240" w:type="dxa"/>
              <w:bottom w:w="150" w:type="dxa"/>
              <w:right w:w="240" w:type="dxa"/>
            </w:tcMar>
            <w:vAlign w:val="center"/>
          </w:tcPr>
          <w:p w14:paraId="18246073">
            <w:pPr>
              <w:widowControl/>
              <w:spacing w:line="520" w:lineRule="exact"/>
              <w:contextualSpacing/>
              <w:jc w:val="left"/>
              <w:rPr>
                <w:rFonts w:hint="eastAsia" w:ascii="仿宋" w:hAnsi="仿宋" w:eastAsia="仿宋" w:cs="宋体"/>
                <w:kern w:val="0"/>
                <w:szCs w:val="21"/>
              </w:rPr>
            </w:pPr>
          </w:p>
        </w:tc>
        <w:tc>
          <w:tcPr>
            <w:tcW w:w="3402" w:type="dxa"/>
            <w:tcMar>
              <w:top w:w="150" w:type="dxa"/>
              <w:left w:w="240" w:type="dxa"/>
              <w:bottom w:w="150" w:type="dxa"/>
              <w:right w:w="0" w:type="dxa"/>
            </w:tcMar>
            <w:vAlign w:val="center"/>
          </w:tcPr>
          <w:p w14:paraId="5B059008">
            <w:pPr>
              <w:widowControl/>
              <w:spacing w:line="520" w:lineRule="exact"/>
              <w:contextualSpacing/>
              <w:jc w:val="left"/>
              <w:rPr>
                <w:rFonts w:hint="eastAsia" w:ascii="仿宋" w:hAnsi="仿宋" w:eastAsia="仿宋" w:cs="Times New Roman"/>
                <w:kern w:val="0"/>
                <w:szCs w:val="21"/>
              </w:rPr>
            </w:pPr>
          </w:p>
        </w:tc>
      </w:tr>
    </w:tbl>
    <w:p w14:paraId="5C308CE3">
      <w:pPr>
        <w:widowControl/>
        <w:shd w:val="clear" w:color="auto" w:fill="FFFFFF"/>
        <w:spacing w:line="520" w:lineRule="exact"/>
        <w:contextualSpacing/>
        <w:jc w:val="left"/>
        <w:rPr>
          <w:rFonts w:hint="eastAsia" w:ascii="仿宋" w:hAnsi="仿宋" w:eastAsia="仿宋" w:cs="Segoe UI"/>
          <w:color w:val="0F1115"/>
          <w:kern w:val="0"/>
          <w:szCs w:val="21"/>
        </w:rPr>
      </w:pPr>
      <w:r>
        <w:rPr>
          <w:rFonts w:ascii="仿宋" w:hAnsi="仿宋" w:eastAsia="仿宋" w:cs="Segoe UI"/>
          <w:bCs/>
          <w:color w:val="0F1115"/>
          <w:kern w:val="0"/>
          <w:szCs w:val="21"/>
        </w:rPr>
        <w:t>评审委员会确认：</w:t>
      </w:r>
      <w:r>
        <w:rPr>
          <w:rFonts w:ascii="仿宋" w:hAnsi="仿宋" w:eastAsia="仿宋" w:cs="Segoe UI"/>
          <w:color w:val="0F1115"/>
          <w:kern w:val="0"/>
          <w:szCs w:val="21"/>
        </w:rPr>
        <w:br w:type="textWrapping"/>
      </w:r>
      <w:r>
        <w:rPr>
          <w:rFonts w:ascii="仿宋" w:hAnsi="仿宋" w:eastAsia="仿宋" w:cs="Segoe UI"/>
          <w:color w:val="0F1115"/>
          <w:kern w:val="0"/>
          <w:szCs w:val="21"/>
        </w:rPr>
        <w:t>我们确认，已根据比选文件规定的资格要求，对所有参选人进行了公平、公正的审查，并依据评审原则形成上述总体结论。</w:t>
      </w:r>
    </w:p>
    <w:p w14:paraId="4B08A980">
      <w:r>
        <w:rPr>
          <w:rFonts w:ascii="仿宋" w:hAnsi="仿宋" w:eastAsia="仿宋" w:cs="Segoe UI"/>
          <w:color w:val="0F1115"/>
          <w:kern w:val="0"/>
          <w:szCs w:val="21"/>
        </w:rPr>
        <w:t>评审员（签字）：__________ __________ __________</w:t>
      </w:r>
      <w:r>
        <w:rPr>
          <w:rFonts w:ascii="仿宋" w:hAnsi="仿宋" w:eastAsia="仿宋" w:cs="Segoe UI"/>
          <w:color w:val="0F1115"/>
          <w:kern w:val="0"/>
          <w:szCs w:val="21"/>
        </w:rPr>
        <w:br w:type="textWrapping"/>
      </w:r>
      <w:r>
        <w:rPr>
          <w:rFonts w:ascii="仿宋" w:hAnsi="仿宋" w:eastAsia="仿宋" w:cs="Segoe UI"/>
          <w:color w:val="0F1115"/>
          <w:kern w:val="0"/>
          <w:szCs w:val="21"/>
        </w:rPr>
        <w:t>日 期：__________年______月______日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3343B"/>
    <w:multiLevelType w:val="multilevel"/>
    <w:tmpl w:val="5F13343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F44742"/>
    <w:rsid w:val="76F44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customStyle="1" w:styleId="5">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2026-08-20T03:16:00Z</dcterms:created>
  <dc:creator>Lyn</dc:creator>
  <cp:lastModifiedBy>Lyn</cp:lastModifiedBy>
  <dcterms:modified xsi:type="dcterms:W3CDTF">2026-08-20T03:18:33Z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0127E57A692A480DB121F8E7947A33A8_11</vt:lpwstr>
  </property>
  <property fmtid="{D5CDD505-2E9C-101B-9397-08002B2CF9AE}" pid="4" name="KSOTemplateDocerSaveRecord">
    <vt:lpwstr>eyJoZGlkIjoiMzI1NTc2YjM3YjBhNGRlYTk3YmY1YzQ4ZGRhMmI5ZWUiLCJ1c2VySWQiOiI0MzA1OTk4ODEifQ==</vt:lpwstr>
  </property>
</Properties>
</file>