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EB409">
      <w:pPr>
        <w:widowControl/>
        <w:shd w:val="clear" w:color="auto" w:fill="FFFFFF"/>
        <w:spacing w:line="520" w:lineRule="exact"/>
        <w:contextualSpacing/>
        <w:rPr>
          <w:rFonts w:hint="eastAsia"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</w:rPr>
        <w:t>四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06409903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Calibri" w:hAnsi="Calibri" w:eastAsia="仿宋" w:cs="Calibri"/>
          <w:color w:val="0F1115"/>
          <w:sz w:val="24"/>
          <w:szCs w:val="24"/>
          <w:u w:val="single"/>
          <w:shd w:val="clear" w:color="auto" w:fill="FFFFFF"/>
        </w:rPr>
        <w:t>南里宿舍锅炉运维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服务项目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项审查中，任一项结论为</w:t>
      </w:r>
      <w:bookmarkStart w:id="0" w:name="_GoBack"/>
      <w:bookmarkEnd w:id="0"/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“不符合”，或其响应存在对项目核心需求的实质性负偏离，则其符合性审查总体结论为“不符合”，不得进入综合评分阶段。</w:t>
      </w:r>
    </w:p>
    <w:tbl>
      <w:tblPr>
        <w:tblStyle w:val="4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37853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2697D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3C813">
            <w:pPr>
              <w:autoSpaceDE w:val="0"/>
              <w:spacing w:before="3" w:line="273" w:lineRule="auto"/>
              <w:ind w:left="426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EE1E4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5B406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34BC4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BB103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925CF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5C85C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7203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C8C8A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604F5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0DEC5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B378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A411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35E22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46027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ECBC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40749"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61FAC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5A045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030A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AF2B2">
            <w:pPr>
              <w:widowControl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1FB2E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6846F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46213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DD39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FA058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05FCB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5F0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CFAAB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EFFC1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0CCFE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05E16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AF313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10912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60C3E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FE641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3E8EA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EF777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供响应文件不存在不符合法律、法规和比选文件规定的其他无效情形。</w:t>
            </w:r>
          </w:p>
        </w:tc>
      </w:tr>
    </w:tbl>
    <w:p w14:paraId="51FFAC93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4332ED60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13E476FE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1628B16A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6BC234DE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对结论为“不符合”的参选人，必须在“不符合原因说明”栏中，清晰、具体地注明所违反的审查项目序号及事实依据。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0E3F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4070C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2773B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0804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453E2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4611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291A4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8CCA4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57FBE4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5D5D4A7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EE9B2A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1E7E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14791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3D972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A35FFC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7272E34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27AF9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3D518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73171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6ADD3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236DB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447641D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B510B8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7DD5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88664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703FA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05132F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BB3EC4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41FE0B4A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3E6A5CD9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5A344CD3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p w14:paraId="774DB5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07068"/>
    <w:rsid w:val="6220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basedOn w:val="2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2026-08-20T03:17:00Z</dcterms:created>
  <dc:creator>Lyn</dc:creator>
  <cp:lastModifiedBy>Lyn</cp:lastModifiedBy>
  <dcterms:modified xsi:type="dcterms:W3CDTF">2026-08-20T03:18:42Z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8D9018DE35B74D3FA497746B9916310D_11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