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2D8D4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/>
          <w:b/>
          <w:color w:val="0F1115"/>
          <w:sz w:val="32"/>
          <w:szCs w:val="32"/>
          <w:shd w:val="clear" w:color="auto" w:fill="FFFFFF"/>
        </w:rPr>
      </w:pPr>
      <w:bookmarkStart w:id="0" w:name="OLE_LINK9"/>
      <w:bookmarkStart w:id="1" w:name="OLE_LINK8"/>
      <w:r>
        <w:rPr>
          <w:rFonts w:hint="eastAsia" w:ascii="仿宋" w:hAnsi="仿宋" w:eastAsia="仿宋"/>
          <w:b/>
          <w:color w:val="0F1115"/>
          <w:sz w:val="32"/>
          <w:szCs w:val="32"/>
          <w:shd w:val="clear" w:color="auto" w:fill="FFFFFF"/>
        </w:rPr>
        <w:t>附件五：</w:t>
      </w:r>
      <w:bookmarkEnd w:id="0"/>
      <w:bookmarkEnd w:id="1"/>
      <w:r>
        <w:rPr>
          <w:rFonts w:ascii="仿宋" w:hAnsi="仿宋" w:eastAsia="仿宋"/>
          <w:b/>
          <w:color w:val="0F1115"/>
          <w:sz w:val="32"/>
          <w:szCs w:val="32"/>
          <w:shd w:val="clear" w:color="auto" w:fill="FFFFFF"/>
        </w:rPr>
        <w:t>综合评分表（总分</w:t>
      </w:r>
      <w:r>
        <w:rPr>
          <w:rFonts w:hint="eastAsia" w:ascii="仿宋" w:hAnsi="仿宋" w:eastAsia="仿宋"/>
          <w:b/>
          <w:color w:val="0F1115"/>
          <w:sz w:val="32"/>
          <w:szCs w:val="32"/>
          <w:shd w:val="clear" w:color="auto" w:fill="FFFFFF"/>
        </w:rPr>
        <w:t>1</w:t>
      </w:r>
      <w:r>
        <w:rPr>
          <w:rFonts w:ascii="仿宋" w:hAnsi="仿宋" w:eastAsia="仿宋"/>
          <w:b/>
          <w:color w:val="0F1115"/>
          <w:sz w:val="32"/>
          <w:szCs w:val="32"/>
          <w:shd w:val="clear" w:color="auto" w:fill="FFFFFF"/>
        </w:rPr>
        <w:t>00分）</w:t>
      </w:r>
    </w:p>
    <w:p w14:paraId="2616B19F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/>
          <w:color w:val="0F1115"/>
          <w:sz w:val="32"/>
          <w:szCs w:val="32"/>
          <w:shd w:val="clear" w:color="auto" w:fill="FFFFFF"/>
        </w:rPr>
      </w:pPr>
      <w:r>
        <w:rPr>
          <w:rFonts w:ascii="仿宋" w:hAnsi="仿宋" w:eastAsia="仿宋"/>
          <w:color w:val="0F1115"/>
          <w:sz w:val="32"/>
          <w:szCs w:val="32"/>
          <w:shd w:val="clear" w:color="auto" w:fill="FFFFFF"/>
        </w:rPr>
        <w:t>项目名称：</w:t>
      </w:r>
      <w:r>
        <w:rPr>
          <w:rFonts w:hint="eastAsia" w:ascii="仿宋" w:hAnsi="仿宋" w:eastAsia="仿宋"/>
          <w:color w:val="0F1115"/>
          <w:sz w:val="32"/>
          <w:szCs w:val="32"/>
          <w:u w:val="single"/>
          <w:shd w:val="clear" w:color="auto" w:fill="FFFFFF"/>
        </w:rPr>
        <w:t>住培管理系统</w:t>
      </w:r>
      <w:r>
        <w:rPr>
          <w:rFonts w:hint="eastAsia" w:ascii="仿宋" w:hAnsi="仿宋" w:eastAsia="仿宋"/>
          <w:color w:val="0F1115"/>
          <w:sz w:val="32"/>
          <w:szCs w:val="32"/>
          <w:shd w:val="clear" w:color="auto" w:fill="FFFFFF"/>
        </w:rPr>
        <w:t>服务</w:t>
      </w:r>
      <w:r>
        <w:rPr>
          <w:rFonts w:ascii="仿宋" w:hAnsi="仿宋" w:eastAsia="仿宋"/>
          <w:color w:val="0F1115"/>
          <w:sz w:val="32"/>
          <w:szCs w:val="32"/>
          <w:shd w:val="clear" w:color="auto" w:fill="FFFFFF"/>
        </w:rPr>
        <w:t>项目</w:t>
      </w:r>
      <w:bookmarkStart w:id="2" w:name="_GoBack"/>
      <w:bookmarkEnd w:id="2"/>
    </w:p>
    <w:tbl>
      <w:tblPr>
        <w:tblStyle w:val="3"/>
        <w:tblpPr w:leftFromText="180" w:rightFromText="180" w:vertAnchor="text" w:horzAnchor="page" w:tblpX="850" w:tblpY="499"/>
        <w:tblOverlap w:val="never"/>
        <w:tblW w:w="99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31"/>
        <w:gridCol w:w="1446"/>
        <w:gridCol w:w="4395"/>
        <w:gridCol w:w="1134"/>
        <w:gridCol w:w="1417"/>
      </w:tblGrid>
      <w:tr w14:paraId="380CE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9A83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评分部分</w:t>
            </w: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F8F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评分因素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74F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评分标准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749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分值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ED7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分值属性</w:t>
            </w:r>
          </w:p>
        </w:tc>
      </w:tr>
      <w:tr w14:paraId="364E0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9AF2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价格部分</w:t>
            </w:r>
          </w:p>
          <w:p w14:paraId="4D920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(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20</w:t>
            </w: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分)</w:t>
            </w: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BC9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参选报价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8AE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满足比选文件要求且报价最低的为基准价，该报价得分为满分。其他供应商的报价得分统一按照下列公式计算：</w:t>
            </w:r>
          </w:p>
          <w:p w14:paraId="4ED19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报价得分＝（基准价/报价）×分值。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3F7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hint="default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34A5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客观</w:t>
            </w:r>
          </w:p>
        </w:tc>
      </w:tr>
      <w:tr w14:paraId="4AF80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27" w:hRule="atLeast"/>
        </w:trPr>
        <w:tc>
          <w:tcPr>
            <w:tcW w:w="1531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8E67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商务部分</w:t>
            </w:r>
          </w:p>
          <w:p w14:paraId="58C98A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(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25</w:t>
            </w: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分)</w:t>
            </w: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780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同类项目业绩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A31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对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eastAsia="zh-CN"/>
              </w:rPr>
              <w:t>供应商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在近三年内（202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年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月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日至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递交截止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日）的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住培管理系统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服务项目进行评审，须在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eastAsia="zh-CN"/>
              </w:rPr>
              <w:t>参选文件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中提供合同复印件并加盖投标单位公章，每提供1项合格的业绩得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分，最高得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分。</w:t>
            </w:r>
          </w:p>
          <w:p w14:paraId="2079B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 xml:space="preserve">注： </w:t>
            </w:r>
          </w:p>
          <w:p w14:paraId="7AA2A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1）以合同签订时间为准，未注明签订时间的合同评标委员会有权不予认可为有效业绩。</w:t>
            </w:r>
          </w:p>
          <w:p w14:paraId="0F115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2）与同一采购人签订的不同服务时间的合同按1份合同计算。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70A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hint="default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3273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客观</w:t>
            </w:r>
          </w:p>
        </w:tc>
      </w:tr>
      <w:tr w14:paraId="4B21C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8" w:hRule="atLeast"/>
        </w:trPr>
        <w:tc>
          <w:tcPr>
            <w:tcW w:w="1531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9577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B8F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项目团队配置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8DB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根据拟派本项目的项目经理及团队成员的学历、证书、工作经验等进行综合评审：</w:t>
            </w:r>
          </w:p>
          <w:p w14:paraId="380FA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人员配备能够满足招标文件要求，构成比例合理、专业齐备，人员经验丰富得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8-10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分；</w:t>
            </w:r>
          </w:p>
          <w:p w14:paraId="60BA5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人员配备能够满足招标文件要求，构成比例较合理、专业较齐备，人员经验较丰富得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5-7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分；</w:t>
            </w:r>
          </w:p>
          <w:p w14:paraId="39F02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人员配备基本能够满足招标文件要求，构成比例合理性一般、专业齐备性一般，人员经验一般得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2-4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分；</w:t>
            </w:r>
          </w:p>
          <w:p w14:paraId="68AD2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人员配备基本不能够满足招标文件要求，构成比例合理性较差、专业不够齐备，人员经验欠丰富得1分；</w:t>
            </w:r>
          </w:p>
          <w:p w14:paraId="596A0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未提供不得分。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D8B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hint="default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59DE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主观</w:t>
            </w:r>
          </w:p>
        </w:tc>
      </w:tr>
      <w:tr w14:paraId="3F0EB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1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2CA8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5D0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内容完整性和编制水平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7BF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default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完全按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比选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要求包含：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资格声明书、响应书、授权委托书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、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报价一览表、采购需求偏离表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等全部章节，无缺项、无漏页、无关键资料缺失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eastAsia="zh-CN"/>
              </w:rPr>
              <w:t>；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有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eastAsia="zh-CN"/>
              </w:rPr>
              <w:t>目录页码、排版格式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清晰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文件装订规范得5分，否则不得分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97A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F7AD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客观</w:t>
            </w:r>
          </w:p>
        </w:tc>
      </w:tr>
      <w:tr w14:paraId="737B2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13" w:hRule="atLeast"/>
        </w:trPr>
        <w:tc>
          <w:tcPr>
            <w:tcW w:w="1531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DD57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技术部分</w:t>
            </w:r>
          </w:p>
          <w:p w14:paraId="49638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 xml:space="preserve"> (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55</w:t>
            </w: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分)</w:t>
            </w: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643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项目重点、难点的分析与解决方案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DAE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根据供应商对本项目的“项目重点、难点的分析与解决方案”进行评价：</w:t>
            </w:r>
          </w:p>
          <w:p w14:paraId="5455D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对本项目理解深入、重点难点分析全面贴合现状，解决方案内容详细，目标明确，切实可行得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11-15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分；</w:t>
            </w:r>
          </w:p>
          <w:p w14:paraId="22637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对本项目理解一般，重点难点分析较全面符合现状，解决方案内容较完整、可行得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6-10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分；</w:t>
            </w:r>
          </w:p>
          <w:p w14:paraId="41E54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对本项目理解一般，重点难点分析与现状有偏差，解决方案一般得1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-5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分；</w:t>
            </w:r>
          </w:p>
          <w:p w14:paraId="35A54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对本项目理解、重点难点分析、解决方案均较差或未提供不得分。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AA4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hint="default" w:ascii="仿宋" w:hAnsi="仿宋" w:eastAsia="仿宋" w:cs="宋体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4316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主观</w:t>
            </w:r>
          </w:p>
        </w:tc>
      </w:tr>
      <w:tr w14:paraId="3C179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31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ADDE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92C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服务方案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2F3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根据供应商提供的针对本项目的服务方案情况进行综合评审：</w:t>
            </w:r>
          </w:p>
          <w:p w14:paraId="4532A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方案内容全面、完整、具体、针对性强、可操作性强，得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11-15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分；</w:t>
            </w:r>
          </w:p>
          <w:p w14:paraId="73FB0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方案内容全面、完整、具体、针对性较强、可操作性较强，得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6-10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分；</w:t>
            </w:r>
          </w:p>
          <w:p w14:paraId="53A96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方案内容的全面性、完整行、具体行一般，针对性一般，可操作性一般，得1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-5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分；</w:t>
            </w:r>
          </w:p>
          <w:p w14:paraId="66405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方案内容不全面、不完整、不具体、针对性不强、可操作性不强或未提供不得分。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CB9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hint="default" w:ascii="仿宋" w:hAnsi="仿宋" w:eastAsia="仿宋" w:cs="宋体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23A0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主观</w:t>
            </w:r>
          </w:p>
        </w:tc>
      </w:tr>
      <w:tr w14:paraId="13C5F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6" w:hRule="atLeast"/>
        </w:trPr>
        <w:tc>
          <w:tcPr>
            <w:tcW w:w="1531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5159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939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运维记录</w:t>
            </w:r>
          </w:p>
          <w:p w14:paraId="57822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的文档管</w:t>
            </w:r>
          </w:p>
          <w:p w14:paraId="29B36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理</w:t>
            </w:r>
          </w:p>
          <w:p w14:paraId="7FDA7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C10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 xml:space="preserve">服务供应商提出有效的运维记录的文档管理方案，并能够充分说明、描述并体现：①有完善的项目档案管 </w:t>
            </w:r>
          </w:p>
          <w:p w14:paraId="3A94F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理机制；②提供完整的项目运维检验检测单据及文档 ，每满足一项得 5 分，最高得 10 分；未明确体现或 无法判断的，该部分不得分。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E5B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hint="default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453A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hint="default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主观</w:t>
            </w:r>
          </w:p>
        </w:tc>
      </w:tr>
      <w:tr w14:paraId="07D6E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1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30B1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6469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突发情况的处理及应急预案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C06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 xml:space="preserve">根据供应商针对本项目提供的“突发情况的处理及应急预案”进行综合评审： </w:t>
            </w:r>
          </w:p>
          <w:p w14:paraId="02E12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突发情况反应迅速、应急预案内容充实，合理性、科学性、针对性高得11-15分；</w:t>
            </w:r>
          </w:p>
          <w:p w14:paraId="64947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突发情况反应一般、应急预案内容较充实，合理性、科学性、针对性较高得6-10分；</w:t>
            </w:r>
          </w:p>
          <w:p w14:paraId="3A60C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 xml:space="preserve">突发情况反应一般、应急预案内容一般，合理性、科学性、针对性一般得1-5分； </w:t>
            </w:r>
          </w:p>
          <w:p w14:paraId="0CCE5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突发情况反应滞后、应急预案内容不全面、不合同、不科学、针对性不强或未提供不得分。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A724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8F02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主观</w:t>
            </w:r>
          </w:p>
        </w:tc>
      </w:tr>
      <w:tr w14:paraId="1CA11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2847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总评分</w:t>
            </w: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705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7FC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DEA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100分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E9DB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ascii="仿宋" w:hAnsi="仿宋" w:eastAsia="仿宋" w:cs="Times New Roman"/>
                <w:b w:val="0"/>
                <w:bCs/>
                <w:kern w:val="0"/>
                <w:szCs w:val="21"/>
              </w:rPr>
            </w:pPr>
          </w:p>
        </w:tc>
      </w:tr>
    </w:tbl>
    <w:p w14:paraId="3482083B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/>
          <w:color w:val="0F1115"/>
          <w:sz w:val="32"/>
          <w:szCs w:val="32"/>
          <w:shd w:val="clear" w:color="auto" w:fill="FFFFFF"/>
        </w:rPr>
      </w:pPr>
    </w:p>
    <w:p w14:paraId="3317CAFF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/>
          <w:color w:val="0F1115"/>
          <w:sz w:val="32"/>
          <w:szCs w:val="32"/>
          <w:shd w:val="clear" w:color="auto" w:fill="FFFFFF"/>
        </w:rPr>
      </w:pPr>
    </w:p>
    <w:p w14:paraId="587F8D52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评审委员会确认：</w:t>
      </w:r>
    </w:p>
    <w:p w14:paraId="36B0433B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color w:val="0F1115"/>
          <w:kern w:val="0"/>
          <w:sz w:val="24"/>
          <w:szCs w:val="24"/>
        </w:rPr>
        <w:t>我们确认，已根据比选文件规定的评审标准和程序，对所有通过资格性及符合性审查的参选文件进行了独立、公正的评审，并依据上表评分标准得出各项得分及总评分。</w:t>
      </w:r>
    </w:p>
    <w:p w14:paraId="4969A14C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color w:val="0F1115"/>
          <w:kern w:val="0"/>
          <w:sz w:val="24"/>
          <w:szCs w:val="24"/>
        </w:rPr>
        <w:t xml:space="preserve">评审员（签字）：__________ __________ __________ </w:t>
      </w:r>
    </w:p>
    <w:p w14:paraId="4AE4E9E3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color w:val="0F1115"/>
          <w:kern w:val="0"/>
          <w:sz w:val="24"/>
          <w:szCs w:val="24"/>
        </w:rPr>
        <w:t>日 期：__________年______月______日</w:t>
      </w:r>
    </w:p>
    <w:p w14:paraId="3695397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A3C38"/>
    <w:rsid w:val="1E0A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2026-09-09T08:42:00Z</dcterms:created>
  <dc:creator>Lyn</dc:creator>
  <cp:lastModifiedBy>Lyn</cp:lastModifiedBy>
  <dcterms:modified xsi:type="dcterms:W3CDTF">2026-09-09T08:44:31Z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87CC97FFE15C4475B482C34C9086645B_11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