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B8559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1AC79B34">
      <w:pPr>
        <w:widowControl/>
        <w:shd w:val="clear" w:color="auto" w:fill="FFFFFF"/>
        <w:contextualSpacing/>
        <w:jc w:val="left"/>
        <w:rPr>
          <w:rFonts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北京口腔医</w:t>
      </w:r>
      <w:bookmarkStart w:id="0" w:name="_GoBack"/>
      <w:bookmarkEnd w:id="0"/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院危急值智能管理平台采购需求项目</w:t>
      </w:r>
    </w:p>
    <w:p w14:paraId="5F3E5C27">
      <w:pPr>
        <w:widowControl/>
        <w:shd w:val="clear" w:color="auto" w:fill="FFFFFF"/>
        <w:contextualSpacing/>
        <w:jc w:val="left"/>
        <w:rPr>
          <w:rFonts w:ascii="黑体" w:hAnsi="黑体" w:eastAsia="黑体"/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1"/>
        <w:gridCol w:w="1446"/>
        <w:gridCol w:w="4395"/>
        <w:gridCol w:w="1134"/>
        <w:gridCol w:w="1417"/>
      </w:tblGrid>
      <w:tr w14:paraId="5C4E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BE355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78534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8004E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A08E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F8884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3929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F6DA3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</w:t>
            </w:r>
          </w:p>
          <w:p w14:paraId="6B3AE6F8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66745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BED5B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满足比选文件要求且报价最低的为基准价，该报价得分为满分。其他供应商的报价得分统一按照下列公式计算：</w:t>
            </w:r>
          </w:p>
          <w:p w14:paraId="76502D4E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报价得分＝（基准价/报价）×分值。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FCB0D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FEC26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473ED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1F36DB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</w:t>
            </w:r>
          </w:p>
          <w:p w14:paraId="15296D7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14308C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9F3DAC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对供应商在近三年内（2023年9月1日至递交截止日）的安防系统维保服务项目进行评审，须在参选文件中提供合同复印件并加盖投标单位公章，每提供1项合格的业绩得2分，最高得10分。</w:t>
            </w:r>
          </w:p>
          <w:p w14:paraId="644EDF6E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 xml:space="preserve">注： </w:t>
            </w:r>
          </w:p>
          <w:p w14:paraId="3B9F9E77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1）以合同签订时间为准，未注明签订时间的合同评标委员会有权不予认可为有效业绩。</w:t>
            </w:r>
          </w:p>
          <w:p w14:paraId="639ABB7C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2）与同一采购人签订的不同服务时间的合同按1份合同计算。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516A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BC19F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3202D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E192A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495A8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6748B2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根据拟派本项目的项目经理及团队成员的学历、证书、工作经验等进行综合评审：</w:t>
            </w:r>
          </w:p>
          <w:p w14:paraId="11FC3449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人员配备能够满足招标文件要求，构成比例合理、专业齐备，人员经验丰富得8-10分；</w:t>
            </w:r>
          </w:p>
          <w:p w14:paraId="6EE3A236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人员配备能够满足招标文件要求，构成比例较合理、专业较齐备，人员经验较丰富得5-7分；</w:t>
            </w:r>
          </w:p>
          <w:p w14:paraId="0B786989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人员配备基本能够满足招标文件要求，构成比例合理性一般、专业齐备性一般，人员经验一般得2-4分；</w:t>
            </w:r>
          </w:p>
          <w:p w14:paraId="4056D81B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人员配备基本不能够满足招标文件要求，构成比例合理性较差、专业不够齐备，人员经验欠丰富得1分；</w:t>
            </w:r>
          </w:p>
          <w:p w14:paraId="5858B78B">
            <w:pPr>
              <w:widowControl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FBA19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0F98B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2B499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148824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E07AF2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内容完整性和编制水平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8E5DA1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完全按比选要求包含：资格声明书、响应书、授权委托书、报价一览表、采购需求偏离表等全部章节，无缺项、无漏页、无关键资料缺失；有目录页码、排版格式清晰、文件装订规范得5分，否则不得分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6C2BE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D27646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客观</w:t>
            </w:r>
          </w:p>
        </w:tc>
      </w:tr>
      <w:tr w14:paraId="627B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3" w:hRule="atLeast"/>
        </w:trPr>
        <w:tc>
          <w:tcPr>
            <w:tcW w:w="1531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530FC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</w:t>
            </w:r>
          </w:p>
          <w:p w14:paraId="574317D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 xml:space="preserve"> (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55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325C8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项目重点、难点的分析与解决方案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C7F962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根据供应商对本项目的“项目重点、难点的分析与解决方案”进行评价：</w:t>
            </w:r>
          </w:p>
          <w:p w14:paraId="7A42C837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对本项目理解深入、重点难点分析全面贴合现状，解决方案内容详细，目标明确，切实可行得11-15分；</w:t>
            </w:r>
          </w:p>
          <w:p w14:paraId="2D753343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对本项目理解一般，重点难点分析较全面符合现状，解决方案内容较完整、可行得6-10分；</w:t>
            </w:r>
          </w:p>
          <w:p w14:paraId="17F85658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对本项目理解一般，重点难点分析与现状有偏差，解决方案一般得1-5分；</w:t>
            </w:r>
          </w:p>
          <w:p w14:paraId="0A1FE42E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对本项目理解、重点难点分析、解决方案均较差或未提供不得分。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05355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391EBA3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16564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10E8CD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62439F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5E8B2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根据供应商提供的针对本项目的服务方案情况进行综合评审：</w:t>
            </w:r>
          </w:p>
          <w:p w14:paraId="1320E96D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方案内容全面、完整、具体、针对性强、可操作性强，得11-15分；</w:t>
            </w:r>
          </w:p>
          <w:p w14:paraId="0B7ED809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方案内容全面、完整、具体、针对性较强、可操作性较强，得6-10分；</w:t>
            </w:r>
          </w:p>
          <w:p w14:paraId="317FC4A8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方案内容的全面性、完整性、可行性一般，针对性一般，可操作性一般，得1-5分；</w:t>
            </w:r>
          </w:p>
          <w:p w14:paraId="43A456BC">
            <w:pPr>
              <w:widowControl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szCs w:val="21"/>
              </w:rPr>
              <w:t>方案内容不全面、不完整、不具体、针对性不强、可操作性不强或未提供不得分。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B0729E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BA13E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77A8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6" w:hRule="atLeast"/>
        </w:trPr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5BF811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197A55">
            <w:pPr>
              <w:widowControl/>
              <w:jc w:val="center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运维记录</w:t>
            </w:r>
          </w:p>
          <w:p w14:paraId="5760F0B3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的文档管</w:t>
            </w:r>
          </w:p>
          <w:p w14:paraId="45961668">
            <w:pPr>
              <w:widowControl/>
              <w:jc w:val="center"/>
              <w:rPr>
                <w:bCs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理</w:t>
            </w:r>
          </w:p>
          <w:p w14:paraId="14E2630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AF665">
            <w:pPr>
              <w:widowControl/>
              <w:jc w:val="left"/>
              <w:rPr>
                <w:bCs/>
              </w:rPr>
            </w:pPr>
            <w:r>
              <w:rPr>
                <w:rFonts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服务供应商提出有效的运维记录的文档管理方案，并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能够充分说明、描述并体现：①有完善的项目档案管 </w:t>
            </w:r>
          </w:p>
          <w:p w14:paraId="5AB9254E">
            <w:pPr>
              <w:widowControl/>
              <w:jc w:val="left"/>
              <w:rPr>
                <w:rFonts w:ascii="仿宋" w:hAnsi="仿宋" w:eastAsia="仿宋" w:cs="宋体"/>
                <w:bCs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 xml:space="preserve">理机制；②提供完整的项目运维检验检测单据及文档 </w:t>
            </w:r>
            <w:r>
              <w:rPr>
                <w:rFonts w:hint="eastAsia" w:eastAsia="仿宋"/>
                <w:bCs/>
              </w:rPr>
              <w:t>，</w:t>
            </w: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lang w:bidi="ar"/>
              </w:rPr>
              <w:t>每满足一项得 5 分，最高得 10 分；未明确体现或 无法判断的，该部分不得分。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20A97A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44ACF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4945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1572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0390A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突发情况的处理及应急预案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1530B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根据供应商针对本项目提供的“突发情况的处理及应急预案”进行综合评审： </w:t>
            </w:r>
          </w:p>
          <w:p w14:paraId="2D9D7D91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突发情况反应迅速、应急预案内容充实，合理性、科学性、针对性高得11-15分；</w:t>
            </w:r>
          </w:p>
          <w:p w14:paraId="70DDFFB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突发情况反应一般、应急预案内容较充实，合理性、科学性、针对性较高得6-10分；</w:t>
            </w:r>
          </w:p>
          <w:p w14:paraId="2AE9DA82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突发情况反应一般、应急预案内容一般，合理性、科学性、针对性一般得1-5分； </w:t>
            </w:r>
          </w:p>
          <w:p w14:paraId="1EAB5D15"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突发情况反应滞后、应急预案内容不全面、不合同、不科学、针对性不强或未提供不得分。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E27596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3C796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主观</w:t>
            </w:r>
          </w:p>
        </w:tc>
      </w:tr>
      <w:tr w14:paraId="342A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3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944B45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44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1F990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EA6C2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E40B47">
            <w:pPr>
              <w:widowControl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D01447E">
            <w:pPr>
              <w:widowControl/>
              <w:contextualSpacing/>
              <w:jc w:val="left"/>
              <w:rPr>
                <w:rFonts w:ascii="仿宋" w:hAnsi="仿宋" w:eastAsia="仿宋" w:cs="Times New Roman"/>
                <w:bCs/>
                <w:kern w:val="0"/>
                <w:szCs w:val="21"/>
              </w:rPr>
            </w:pPr>
          </w:p>
        </w:tc>
      </w:tr>
    </w:tbl>
    <w:p w14:paraId="48E1F767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5921C940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53709834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__________ __________ </w:t>
      </w:r>
    </w:p>
    <w:p w14:paraId="0F0CBA51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85E32"/>
    <w:rsid w:val="6FB8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2026-09-20T03:05:00Z</dcterms:created>
  <dc:creator>Lyn</dc:creator>
  <cp:lastModifiedBy>Lyn</cp:lastModifiedBy>
  <dcterms:modified xsi:type="dcterms:W3CDTF">2026-09-20T03:06:20Z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9274DC62A3284090A4EC5E3B3F5D1025_11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