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B8559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附件五：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综合评分表（总分</w:t>
      </w: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1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00分）</w:t>
      </w:r>
    </w:p>
    <w:p w14:paraId="1AC79B34">
      <w:pPr>
        <w:widowControl/>
        <w:shd w:val="clear" w:color="auto" w:fill="FFFFFF"/>
        <w:contextualSpacing/>
        <w:jc w:val="left"/>
        <w:rPr>
          <w:rFonts w:ascii="仿宋" w:hAnsi="仿宋" w:eastAsia="仿宋"/>
          <w:color w:val="0F1115"/>
          <w:sz w:val="32"/>
          <w:szCs w:val="32"/>
          <w:shd w:val="clear" w:color="auto" w:fill="FFFFFF"/>
        </w:rPr>
      </w:pP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项目名称：</w:t>
      </w:r>
      <w:r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  <w:t>北京口腔医院危急值管理系统运维服务项目</w:t>
      </w:r>
    </w:p>
    <w:p w14:paraId="5F3E5C27">
      <w:pPr>
        <w:widowControl/>
        <w:shd w:val="clear" w:color="auto" w:fill="FFFFFF"/>
        <w:contextualSpacing/>
        <w:jc w:val="left"/>
        <w:rPr>
          <w:rFonts w:ascii="黑体" w:hAnsi="黑体" w:eastAsia="黑体"/>
          <w:color w:val="000000" w:themeColor="text1"/>
          <w:sz w:val="36"/>
          <w:szCs w:val="36"/>
          <w:u w:val="single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1446"/>
        <w:gridCol w:w="4395"/>
        <w:gridCol w:w="1134"/>
        <w:gridCol w:w="1417"/>
      </w:tblGrid>
      <w:tr w14:paraId="5C4E7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BE3558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评分部分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B78534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评分因素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8004ED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评分标准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EA08E8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F8884E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分值属性</w:t>
            </w:r>
          </w:p>
        </w:tc>
      </w:tr>
      <w:tr w14:paraId="3929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F6DA3F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价格部分</w:t>
            </w:r>
          </w:p>
          <w:p w14:paraId="6B3AE6F8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(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20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66745D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参选报价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BED5B6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满足比选文件要求且报价最低的为基准价，该报价得分为满分。其他供应商的报价得分统一按照下列公式计算：</w:t>
            </w:r>
          </w:p>
          <w:p w14:paraId="76502D4E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报价得分＝（基准价/报价）×分值。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FCB0D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20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FEC26E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客观</w:t>
            </w:r>
          </w:p>
        </w:tc>
      </w:tr>
      <w:tr w14:paraId="473ED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1F36DB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商务部分</w:t>
            </w:r>
          </w:p>
          <w:p w14:paraId="15296D7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(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25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14308C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同类项目业绩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9F3DAC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对供应商在近三年内（2023年9月1日至递交截止日）的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1"/>
                <w:szCs w:val="21"/>
                <w:shd w:val="clear" w:color="auto" w:fill="auto"/>
              </w:rPr>
              <w:t>危急值管理系统运维服务项目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进行评审，须在参选文件中提供合同复印件并加盖投标单位公章，每提供1项合格的业绩得2分，最高得10分。</w:t>
            </w:r>
          </w:p>
          <w:p w14:paraId="644EDF6E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 xml:space="preserve">注： </w:t>
            </w:r>
          </w:p>
          <w:p w14:paraId="3B9F9E77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1）以合同签订时间为准，未注明签订时间的合同评标委员会有权不予认可为有效业绩。</w:t>
            </w:r>
          </w:p>
          <w:p w14:paraId="639ABB7C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2）与同一采购人签订的不同服务时间的合同按1份合同计算。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A516A9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BC19FE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客观</w:t>
            </w:r>
          </w:p>
        </w:tc>
      </w:tr>
      <w:tr w14:paraId="3202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E192A0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495A8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项目团队配置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6748B2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根据拟派本项目的项目经理及团队成员的学历、证书、工作经验等进行综合评审：</w:t>
            </w:r>
          </w:p>
          <w:p w14:paraId="11FC3449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人员配备能够满足招标文件要求，构成比例合理、专业齐备，人员经验丰富得8-10分；</w:t>
            </w:r>
          </w:p>
          <w:p w14:paraId="6EE3A236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人员配备能够满足招标文件要求，构成比例较合理、专业较齐备，人员经验较丰富得5-7分；</w:t>
            </w:r>
          </w:p>
          <w:p w14:paraId="0B786989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人员配备基本能够满足招标文件要求，构成比例合理性一般、专业齐备性一般，人员经验一般得2-4分；</w:t>
            </w:r>
          </w:p>
          <w:p w14:paraId="4056D81B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人员配备基本不能够满足招标文件要求，构成比例合理性较差、专业不够齐备，人员经验欠丰富得1分；</w:t>
            </w:r>
          </w:p>
          <w:p w14:paraId="5858B78B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1FBA19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0F98B6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2B499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148824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E07AF2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内容完整性和编制水平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8E5DA1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完全按比选要求包含：资格声明书、响应书、授权委托书、报价一览表、采购需求偏离表等全部章节，无缺项、无漏页、无关键资料缺失；有目录页码、排版格式清晰、文件装订规范得5分，否则不得分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6C2BE3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AD27646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客观</w:t>
            </w:r>
          </w:p>
        </w:tc>
      </w:tr>
      <w:tr w14:paraId="627B7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3" w:hRule="atLeast"/>
        </w:trPr>
        <w:tc>
          <w:tcPr>
            <w:tcW w:w="1531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530FC5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技术部分</w:t>
            </w:r>
          </w:p>
          <w:p w14:paraId="574317DA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 xml:space="preserve"> (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55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325C85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项目重点、难点的分析与解决方案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C7F962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根据供应商对本项目的“项目重点、难点的分析与解决方案”进行评价：</w:t>
            </w:r>
          </w:p>
          <w:p w14:paraId="7A42C837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对本项目理解深入、重点难点分析全面贴合现状，解决方案内容详细，目标明确，切实可行得11-15分；</w:t>
            </w:r>
          </w:p>
          <w:p w14:paraId="2D753343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对本项目理解一般，重点难点分析较全面符合现状，解决方案内容较完整、可行得6-10分；</w:t>
            </w:r>
          </w:p>
          <w:p w14:paraId="17F85658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对本项目理解一般，重点难点分析与现状有偏差，解决方案一般得1-5分；</w:t>
            </w:r>
          </w:p>
          <w:p w14:paraId="0A1FE42E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对本项目理解、重点难点分析、解决方案均较差或未提供不得分。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053551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91EBA3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16564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10E8CD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62439F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服务方案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F5E8B2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根据供应商提供的针对本项目的服务方案情况进行综合评审：</w:t>
            </w:r>
          </w:p>
          <w:p w14:paraId="1320E96D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方案内容全面、完整、具体、针对性强、可操作性强，得11-15分；</w:t>
            </w:r>
          </w:p>
          <w:p w14:paraId="0B7ED809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方案内容全面、完整、具体、针对性较强、可操作性较强，得6-10分；</w:t>
            </w:r>
          </w:p>
          <w:p w14:paraId="317FC4A8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方案内容的全面性、完整性、可行性一般，针对性一般，可操作性一般，得1-5分；</w:t>
            </w:r>
          </w:p>
          <w:p w14:paraId="43A456BC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方案内容不全面、不完整、不具体、针对性不强、可操作性不强或未提供不得分。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B0729E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BA13E1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77A81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6" w:hRule="atLeast"/>
        </w:trPr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5BF811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197A55">
            <w:pPr>
              <w:widowControl/>
              <w:jc w:val="center"/>
              <w:rPr>
                <w:bCs/>
              </w:rPr>
            </w:pPr>
            <w:r>
              <w:rPr>
                <w:rFonts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运维记录</w:t>
            </w:r>
          </w:p>
          <w:p w14:paraId="5760F0B3">
            <w:pPr>
              <w:widowControl/>
              <w:jc w:val="center"/>
              <w:rPr>
                <w:bCs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的文档管</w:t>
            </w:r>
          </w:p>
          <w:p w14:paraId="45961668">
            <w:pPr>
              <w:widowControl/>
              <w:jc w:val="center"/>
              <w:rPr>
                <w:bCs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理</w:t>
            </w:r>
          </w:p>
          <w:p w14:paraId="14E2630A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5AF665">
            <w:pPr>
              <w:widowControl/>
              <w:jc w:val="left"/>
              <w:rPr>
                <w:bCs/>
              </w:rPr>
            </w:pPr>
            <w:r>
              <w:rPr>
                <w:rFonts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服务供应商提出有效的运维记录的文档管理方案，并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 xml:space="preserve">能够充分说明、描述并体现：①有完善的项目档案管 </w:t>
            </w:r>
          </w:p>
          <w:p w14:paraId="5AB9254E">
            <w:pPr>
              <w:widowControl/>
              <w:jc w:val="left"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 xml:space="preserve">理机制；②提供完整的项目运维检验检测单据及文档 </w:t>
            </w:r>
            <w:r>
              <w:rPr>
                <w:rFonts w:hint="eastAsia" w:eastAsia="仿宋"/>
                <w:bCs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每满足一项得 5 分，最高得 10 分；未明确体现或 无法判断的，该部分不得分。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20A97A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44ACF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4945B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C15725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0390A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突发情况的处理及应急预案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1530B2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根据供应商针对本项目提供的“突发情况的处理及应急预案”进行综合评审： </w:t>
            </w:r>
          </w:p>
          <w:p w14:paraId="2D9D7D91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突发情况反应迅速、应急预案内容充实，合理性、科学性、针对性高得11-15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分；</w:t>
            </w:r>
          </w:p>
          <w:p w14:paraId="70DDFFB2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突发情况反应一般、应急预案内容较充实，合理性、科学性、针对性较高得6-10分；</w:t>
            </w:r>
          </w:p>
          <w:p w14:paraId="2AE9DA82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突发情况反应一般、应急预案内容一般，合理性、科学性、针对性一般得1-5分； </w:t>
            </w:r>
          </w:p>
          <w:p w14:paraId="1EAB5D15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突发情况反应滞后、应急预案内容不全面、不合同、不科学、针对性不强或未提供不得分。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E2759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3C7960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342AC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944B45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总评分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21F990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EA6C2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E40B4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100分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01447E">
            <w:pPr>
              <w:widowControl/>
              <w:contextualSpacing/>
              <w:jc w:val="left"/>
              <w:rPr>
                <w:rFonts w:ascii="仿宋" w:hAnsi="仿宋" w:eastAsia="仿宋" w:cs="Times New Roman"/>
                <w:bCs/>
                <w:kern w:val="0"/>
                <w:szCs w:val="21"/>
              </w:rPr>
            </w:pPr>
          </w:p>
        </w:tc>
      </w:tr>
    </w:tbl>
    <w:p w14:paraId="48E1F767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评审委员会确认：</w:t>
      </w:r>
    </w:p>
    <w:p w14:paraId="5921C940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我们确认，已根据比选文件规定的评审标准和程序，对所有通过资格性及符合性审查的参选文件进行了独立、公正的评审，并依据上表评分标准得出各项得分及总评分。</w:t>
      </w:r>
    </w:p>
    <w:p w14:paraId="53709834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 xml:space="preserve">评审员（签字）：__________ __________ __________ </w:t>
      </w:r>
    </w:p>
    <w:p w14:paraId="4A4FDF8A">
      <w:r>
        <w:rPr>
          <w:rFonts w:ascii="仿宋" w:hAnsi="仿宋" w:eastAsia="仿宋" w:cs="Segoe UI"/>
          <w:color w:val="0F1115"/>
          <w:kern w:val="0"/>
          <w:sz w:val="24"/>
          <w:szCs w:val="24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0426A9"/>
    <w:rsid w:val="6804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2026-09-24T03:12:00Z</dcterms:created>
  <dc:creator>Lyn</dc:creator>
  <cp:lastModifiedBy>Lyn</cp:lastModifiedBy>
  <dcterms:modified xsi:type="dcterms:W3CDTF">2026-09-24T03:13:44Z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6A27DC014540466FB93C091E903E093F_11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