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46D52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</w:p>
    <w:p w14:paraId="58A51F73">
      <w:pPr>
        <w:jc w:val="center"/>
        <w:rPr>
          <w:rFonts w:hint="eastAsia" w:ascii="黑体" w:hAnsi="黑体" w:eastAsia="黑体"/>
          <w:bCs/>
          <w:spacing w:val="3"/>
          <w:sz w:val="44"/>
          <w:szCs w:val="44"/>
        </w:rPr>
      </w:pP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01ED0723">
      <w:pPr>
        <w:jc w:val="center"/>
        <w:rPr>
          <w:b/>
          <w:bCs/>
          <w:spacing w:val="3"/>
          <w:sz w:val="14"/>
          <w:szCs w:val="14"/>
        </w:rPr>
      </w:pPr>
    </w:p>
    <w:p w14:paraId="7DDD9580">
      <w:pPr>
        <w:rPr>
          <w:rFonts w:hint="eastAsia"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7B539B5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北京口腔医院</w:t>
      </w:r>
      <w:r>
        <w:rPr>
          <w:rFonts w:hint="eastAsia" w:ascii="仿宋" w:hAnsi="仿宋" w:eastAsia="仿宋"/>
          <w:sz w:val="32"/>
          <w:szCs w:val="32"/>
        </w:rPr>
        <w:t>护齿文创套装设计、制作项目</w:t>
      </w:r>
    </w:p>
    <w:p w14:paraId="36BB41C1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  <w:bookmarkStart w:id="0" w:name="_GoBack"/>
      <w:bookmarkEnd w:id="0"/>
    </w:p>
    <w:p w14:paraId="33B52C6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7A52B051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64D3BED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35A3A413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2DE417F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50729C90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46EE855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41348B51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7.法律、法规和比选公告中规定的其他禁止情形；</w:t>
      </w:r>
    </w:p>
    <w:p w14:paraId="6F77BC30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28615E91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2F33625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095E259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2BC7DBB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187782DC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7F13AC90">
      <w:pPr>
        <w:spacing w:line="520" w:lineRule="exact"/>
        <w:contextualSpacing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711246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17D02"/>
    <w:rsid w:val="5FB1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2026-09-30T09:05:00Z</dcterms:created>
  <dc:creator>Lyn</dc:creator>
  <cp:lastModifiedBy>Lyn</cp:lastModifiedBy>
  <dcterms:modified xsi:type="dcterms:W3CDTF">2026-09-30T09:07:15Z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015A4263CAA54E9B81120495A6D81A31_11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