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12C4B">
      <w:pPr>
        <w:widowControl/>
        <w:shd w:val="clear" w:color="auto" w:fill="FFFFFF"/>
        <w:spacing w:line="520" w:lineRule="exact"/>
        <w:contextualSpacing/>
        <w:rPr>
          <w:rFonts w:hint="eastAsia" w:ascii="仿宋" w:hAnsi="仿宋" w:eastAsia="仿宋" w:cs="Segoe UI"/>
          <w:b/>
          <w:bCs/>
          <w:sz w:val="44"/>
          <w:szCs w:val="44"/>
        </w:rPr>
      </w:pPr>
      <w:r>
        <w:rPr>
          <w:rFonts w:ascii="仿宋" w:hAnsi="仿宋" w:eastAsia="仿宋" w:cs="Segoe UI"/>
          <w:b/>
          <w:bCs/>
          <w:sz w:val="32"/>
          <w:szCs w:val="32"/>
        </w:rPr>
        <w:t>附件</w:t>
      </w:r>
      <w:r>
        <w:rPr>
          <w:rFonts w:hint="eastAsia" w:ascii="仿宋" w:hAnsi="仿宋" w:eastAsia="仿宋" w:cs="Segoe UI"/>
          <w:b/>
          <w:bCs/>
          <w:sz w:val="32"/>
          <w:szCs w:val="32"/>
        </w:rPr>
        <w:t>四</w:t>
      </w:r>
      <w:r>
        <w:rPr>
          <w:rFonts w:ascii="仿宋" w:hAnsi="仿宋" w:eastAsia="仿宋" w:cs="Segoe UI"/>
          <w:b/>
          <w:bCs/>
          <w:sz w:val="32"/>
          <w:szCs w:val="32"/>
        </w:rPr>
        <w:t>：符合性审查表</w:t>
      </w:r>
    </w:p>
    <w:p w14:paraId="37079281">
      <w:pPr>
        <w:widowControl/>
        <w:shd w:val="clear" w:color="auto" w:fill="FFFFFF"/>
        <w:spacing w:line="520" w:lineRule="exact"/>
        <w:contextualSpacing/>
        <w:jc w:val="left"/>
        <w:rPr>
          <w:rFonts w:ascii="Calibri" w:hAnsi="Calibri" w:eastAsia="仿宋" w:cs="Calibr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项目名称：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hint="eastAsia" w:ascii="Calibri" w:hAnsi="Calibri" w:eastAsia="仿宋" w:cs="Calibri"/>
          <w:color w:val="0F1115"/>
          <w:kern w:val="0"/>
          <w:sz w:val="24"/>
          <w:szCs w:val="24"/>
        </w:rPr>
        <w:t>订购“2027年</w:t>
      </w:r>
      <w:r>
        <w:rPr>
          <w:rFonts w:hint="eastAsia"/>
          <w:lang w:val="en-US" w:eastAsia="zh-CN"/>
        </w:rPr>
        <w:t>医学文献学术</w:t>
      </w:r>
      <w:r>
        <w:rPr>
          <w:rFonts w:hint="eastAsia" w:ascii="Calibri" w:hAnsi="Calibri" w:eastAsia="仿宋" w:cs="Calibri"/>
          <w:color w:val="0F1115"/>
          <w:kern w:val="0"/>
          <w:sz w:val="24"/>
          <w:szCs w:val="24"/>
        </w:rPr>
        <w:t>服务系统”</w:t>
      </w:r>
      <w:r>
        <w:rPr>
          <w:rFonts w:ascii="仿宋" w:hAnsi="仿宋" w:eastAsia="仿宋" w:cs="Segoe UI"/>
          <w:color w:val="0F1115"/>
          <w:kern w:val="0"/>
          <w:sz w:val="24"/>
          <w:szCs w:val="24"/>
        </w:rPr>
        <w:t>服务项目</w:t>
      </w:r>
      <w:r>
        <w:rPr>
          <w:rFonts w:ascii="仿宋" w:hAnsi="仿宋" w:eastAsia="仿宋" w:cs="Segoe UI"/>
          <w:color w:val="0F1115"/>
          <w:kern w:val="0"/>
          <w:sz w:val="24"/>
          <w:szCs w:val="24"/>
        </w:rPr>
        <w:br w:type="textWrapping"/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评审原则：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以下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九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项审查中，任一项结论为“不符合”，或其响应存在对项目核心需求的实质性负偏离，则其符合性审查总体结论为“不符合”，不得进入综合评分阶段。</w:t>
      </w:r>
    </w:p>
    <w:tbl>
      <w:tblPr>
        <w:tblStyle w:val="5"/>
        <w:tblW w:w="928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813"/>
        <w:gridCol w:w="6725"/>
      </w:tblGrid>
      <w:tr w14:paraId="4EE37F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4F690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FC71C">
            <w:pPr>
              <w:autoSpaceDE w:val="0"/>
              <w:spacing w:before="3" w:line="273" w:lineRule="auto"/>
              <w:ind w:left="426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审查因素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E3A7E1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审查内容</w:t>
            </w:r>
          </w:p>
        </w:tc>
      </w:tr>
      <w:tr w14:paraId="6796E4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8706D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C971F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响应书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37DF4E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按比选文件要求提供，且承诺的采购有效期满足比选文件中载明的采购有效期的；</w:t>
            </w:r>
          </w:p>
        </w:tc>
      </w:tr>
      <w:tr w14:paraId="22E993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BC9C2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29621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授权委托书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4479A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按比选文件要求提供授权委托书；</w:t>
            </w:r>
          </w:p>
        </w:tc>
      </w:tr>
      <w:tr w14:paraId="1D7AD1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C43454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A4B0A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报价一览表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6F105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按比选文件要求提供；投标报价未超过比选文件中规定的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采购包预算金额或者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采购包最高限价（或者比选文件另有规定的）；</w:t>
            </w:r>
          </w:p>
        </w:tc>
      </w:tr>
      <w:tr w14:paraId="1BE667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28045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01545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报价合理性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FA77F">
            <w:pPr>
              <w:widowControl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报价合理，或供应商的报价明显低于其他通过符合性审查供应商的报价，有可能影响产品质量或者不能诚信履约的，能够应评审小组要求在规定时间内证明其报价合理性的；</w:t>
            </w:r>
          </w:p>
        </w:tc>
      </w:tr>
      <w:tr w14:paraId="496B46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E95D97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61CA0">
            <w:pPr>
              <w:widowControl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签署、盖章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5B0598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按照比选文件要求签署、盖章的；</w:t>
            </w:r>
          </w:p>
        </w:tc>
      </w:tr>
      <w:tr w14:paraId="375385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F90FC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8F00C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实质性格式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F92E1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标记为“实质性格式”的文件均按比选文件要求提供的；</w:t>
            </w:r>
          </w:p>
        </w:tc>
      </w:tr>
      <w:tr w14:paraId="05A52A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2B325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368681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采购需求偏离表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0CF27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</w:t>
            </w:r>
          </w:p>
        </w:tc>
      </w:tr>
      <w:tr w14:paraId="3D8E27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3A7C7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9C3F7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串通投标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3CF46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不存在《政府采购货物和服务招标投标管理办法》视为供应商串通投标的情形：（一）不同供应商的响应文件由同一单位或者个人编制；（二）不同供应商委托同一单位或者个人办理投标事宜；（三）不同供应商的响应文件载明的项目管理成员或者联系人员为同一人；（四）不同供应商的响应文件异常一致或者投标报价呈规律性差异；（五）不同供应商的响应文件相互混装；（六）不同供应商的保证金从同一单位或者个人的账户转出；</w:t>
            </w:r>
          </w:p>
        </w:tc>
      </w:tr>
      <w:tr w14:paraId="078BF6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07529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F41B2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其他无效情形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D6B84B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供响应文件不存在不符合法律、法规和比选文件规定的其他无效情形。</w:t>
            </w:r>
          </w:p>
        </w:tc>
      </w:tr>
    </w:tbl>
    <w:p w14:paraId="0B4C2C23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符合性审查总体结论记录表</w:t>
      </w:r>
    </w:p>
    <w:p w14:paraId="008A095D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评审员填写指引：</w:t>
      </w:r>
    </w:p>
    <w:p w14:paraId="63355E69">
      <w:pPr>
        <w:widowControl/>
        <w:numPr>
          <w:ilvl w:val="0"/>
          <w:numId w:val="2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请根据上表对每家参选人进行逐项审查，并在对应“审查结论”栏勾选“符合”或“不符合”。</w:t>
      </w:r>
    </w:p>
    <w:p w14:paraId="03FAB7A1">
      <w:pPr>
        <w:widowControl/>
        <w:numPr>
          <w:ilvl w:val="0"/>
          <w:numId w:val="2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完成逐项审查后，根据评审原则，在本表记录总体结论。</w:t>
      </w:r>
    </w:p>
    <w:p w14:paraId="12D59B5E">
      <w:pPr>
        <w:widowControl/>
        <w:numPr>
          <w:ilvl w:val="0"/>
          <w:numId w:val="2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对结论为“不符合”的参选人，必须在“不符合原因说明”栏中，清晰、具体地注明所违反的审查项目序号及事实依据。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6"/>
        <w:gridCol w:w="2732"/>
        <w:gridCol w:w="1404"/>
        <w:gridCol w:w="3349"/>
      </w:tblGrid>
      <w:tr w14:paraId="625BF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A6E730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评审顺序号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B9CC9D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参选人名称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781341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总体结论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BAA57D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不符合原因说明 (仅当结论为“不符合”时填写)</w:t>
            </w:r>
          </w:p>
        </w:tc>
      </w:tr>
      <w:tr w14:paraId="39B33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272762D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71217F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074C95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2F3FE516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D6134B7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39562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F79917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29EFBB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94FC75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5DD36153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F1C3BBD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66C84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F0F7004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0D880D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629CF7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4BE8EBC2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5E15C3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0AF9C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6368D3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EF059C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（可根据实际参选人数添加行）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2635A9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DF9BE6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</w:tr>
    </w:tbl>
    <w:p w14:paraId="76464AD5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评审委员会确认：</w:t>
      </w:r>
      <w:r>
        <w:rPr>
          <w:rFonts w:ascii="仿宋" w:hAnsi="仿宋" w:eastAsia="仿宋" w:cs="Segoe UI"/>
          <w:color w:val="0F1115"/>
          <w:kern w:val="0"/>
          <w:szCs w:val="21"/>
        </w:rPr>
        <w:br w:type="textWrapping"/>
      </w:r>
      <w:r>
        <w:rPr>
          <w:rFonts w:ascii="仿宋" w:hAnsi="仿宋" w:eastAsia="仿宋" w:cs="Segoe UI"/>
          <w:color w:val="0F1115"/>
          <w:kern w:val="0"/>
          <w:szCs w:val="21"/>
        </w:rPr>
        <w:t>我们确认，已根据比选文件规定的符合性审查要求，对所有参选文件进行了审查，并依据评审原则形成上述总体结论。</w:t>
      </w:r>
    </w:p>
    <w:p w14:paraId="06FB340F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 xml:space="preserve">评审员（签字）：__________ __________ __________ </w:t>
      </w:r>
    </w:p>
    <w:p w14:paraId="4350D8C6">
      <w:r>
        <w:rPr>
          <w:rFonts w:ascii="仿宋" w:hAnsi="仿宋" w:eastAsia="仿宋" w:cs="Segoe UI"/>
          <w:color w:val="0F1115"/>
          <w:kern w:val="0"/>
          <w:szCs w:val="21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0"/>
    <w:multiLevelType w:val="multilevel"/>
    <w:tmpl w:val="00000010"/>
    <w:lvl w:ilvl="0" w:tentative="0">
      <w:start w:val="1"/>
      <w:numFmt w:val="upperLetter"/>
      <w:pStyle w:val="2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30502BAE"/>
    <w:multiLevelType w:val="multilevel"/>
    <w:tmpl w:val="30502B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19554F"/>
    <w:rsid w:val="4319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tabs>
        <w:tab w:val="left" w:pos="1150"/>
      </w:tabs>
      <w:autoSpaceDE w:val="0"/>
      <w:autoSpaceDN w:val="0"/>
      <w:adjustRightInd w:val="0"/>
      <w:outlineLvl w:val="0"/>
    </w:pPr>
    <w:rPr>
      <w:rFonts w:ascii="Calibri"/>
      <w:sz w:val="28"/>
      <w:szCs w:val="2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Table Normal1"/>
    <w:basedOn w:val="3"/>
    <w:qFormat/>
    <w:uiPriority w:val="0"/>
    <w:rPr>
      <w:rFonts w:ascii="Times New Roman" w:hAnsi="Times New Roman" w:eastAsia="Times New Roman" w:cs="Times New Roman"/>
    </w:r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2026-10-15T06:25:00Z</dcterms:created>
  <dc:creator>Lyn</dc:creator>
  <cp:lastModifiedBy>Lyn</cp:lastModifiedBy>
  <dcterms:modified xsi:type="dcterms:W3CDTF">2026-10-15T06:26:41Z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5FD05D5780F2433C9C8D64A071BE3F78_11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