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691E3A">
      <w:pPr>
        <w:widowControl/>
        <w:shd w:val="clear" w:color="auto" w:fill="FFFFFF"/>
        <w:spacing w:line="520" w:lineRule="exact"/>
        <w:contextualSpacing/>
        <w:rPr>
          <w:rFonts w:hint="eastAsia" w:ascii="仿宋" w:hAnsi="仿宋" w:eastAsia="仿宋" w:cs="Segoe UI"/>
          <w:b/>
          <w:bCs/>
          <w:sz w:val="44"/>
          <w:szCs w:val="44"/>
        </w:rPr>
      </w:pPr>
      <w:r>
        <w:rPr>
          <w:rFonts w:ascii="仿宋" w:hAnsi="仿宋" w:eastAsia="仿宋" w:cs="Segoe UI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Segoe UI"/>
          <w:b/>
          <w:bCs/>
          <w:sz w:val="32"/>
          <w:szCs w:val="32"/>
        </w:rPr>
        <w:t>四</w:t>
      </w:r>
      <w:r>
        <w:rPr>
          <w:rFonts w:ascii="仿宋" w:hAnsi="仿宋" w:eastAsia="仿宋" w:cs="Segoe UI"/>
          <w:b/>
          <w:bCs/>
          <w:sz w:val="32"/>
          <w:szCs w:val="32"/>
        </w:rPr>
        <w:t>：符合性审查表</w:t>
      </w:r>
    </w:p>
    <w:p w14:paraId="34D4F268">
      <w:pPr>
        <w:widowControl/>
        <w:shd w:val="clear" w:color="auto" w:fill="FFFFFF"/>
        <w:spacing w:line="520" w:lineRule="exact"/>
        <w:contextualSpacing/>
        <w:jc w:val="left"/>
        <w:rPr>
          <w:rFonts w:ascii="Calibri" w:hAnsi="Calibri" w:eastAsia="仿宋" w:cs="Calibri"/>
          <w:color w:val="0F1115"/>
          <w:kern w:val="0"/>
          <w:sz w:val="24"/>
          <w:szCs w:val="24"/>
        </w:rPr>
      </w:pP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项目名称：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hint="eastAsia" w:ascii="Calibri" w:hAnsi="Calibri" w:eastAsia="仿宋" w:cs="Calibri"/>
          <w:color w:val="0F1115"/>
          <w:kern w:val="0"/>
          <w:sz w:val="24"/>
          <w:szCs w:val="24"/>
        </w:rPr>
        <w:t>订购“2027年北京地区外文医学期刊共享库”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t>服务项目</w:t>
      </w:r>
      <w:r>
        <w:rPr>
          <w:rFonts w:ascii="仿宋" w:hAnsi="仿宋" w:eastAsia="仿宋" w:cs="Segoe UI"/>
          <w:color w:val="0F1115"/>
          <w:kern w:val="0"/>
          <w:sz w:val="24"/>
          <w:szCs w:val="24"/>
        </w:rPr>
        <w:br w:type="textWrapping"/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评审原则：</w:t>
      </w:r>
      <w:r>
        <w:rPr>
          <w:rFonts w:ascii="Calibri" w:hAnsi="Calibri" w:eastAsia="仿宋" w:cs="Calibri"/>
          <w:color w:val="0F1115"/>
          <w:kern w:val="0"/>
          <w:sz w:val="24"/>
          <w:szCs w:val="24"/>
        </w:rPr>
        <w:t> 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以下</w:t>
      </w:r>
      <w:r>
        <w:rPr>
          <w:rFonts w:hint="eastAsia" w:ascii="仿宋" w:hAnsi="仿宋" w:eastAsia="仿宋" w:cs="Segoe UI"/>
          <w:bCs/>
          <w:color w:val="0F1115"/>
          <w:kern w:val="0"/>
          <w:sz w:val="24"/>
          <w:szCs w:val="24"/>
        </w:rPr>
        <w:t>九</w:t>
      </w:r>
      <w:r>
        <w:rPr>
          <w:rFonts w:ascii="仿宋" w:hAnsi="仿宋" w:eastAsia="仿宋" w:cs="Segoe UI"/>
          <w:bCs/>
          <w:color w:val="0F1115"/>
          <w:kern w:val="0"/>
          <w:sz w:val="24"/>
          <w:szCs w:val="24"/>
        </w:rPr>
        <w:t>项审查中，任一项结论为“不符合”，或其响应存在对项目核心需求的实质性负偏离，则其符合性审查总体结论为“不符合”，不得进入综合评分阶段。</w:t>
      </w:r>
    </w:p>
    <w:tbl>
      <w:tblPr>
        <w:tblStyle w:val="5"/>
        <w:tblW w:w="92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13"/>
        <w:gridCol w:w="6725"/>
      </w:tblGrid>
      <w:tr w14:paraId="5D2463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9287A0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D7C88D">
            <w:pPr>
              <w:autoSpaceDE w:val="0"/>
              <w:spacing w:before="3" w:line="273" w:lineRule="auto"/>
              <w:ind w:left="426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审查因素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3482C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kern w:val="0"/>
                <w:sz w:val="24"/>
                <w:szCs w:val="24"/>
              </w:rPr>
              <w:t>审查内容</w:t>
            </w:r>
          </w:p>
        </w:tc>
      </w:tr>
      <w:tr w14:paraId="38A51A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71BDA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1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669D86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响应书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0083C0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按比选文件要求提供，且承诺的采购有效期满足比选文件中载明的采购有效期的；</w:t>
            </w:r>
          </w:p>
        </w:tc>
      </w:tr>
      <w:tr w14:paraId="51C962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D3CBD4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2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75666E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授权委托书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15CAEC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按比选文件要求提供授权委托书；</w:t>
            </w:r>
          </w:p>
        </w:tc>
      </w:tr>
      <w:tr w14:paraId="63886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1DED1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3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77E9E0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报价一览表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DDDC0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按比选文件要求提供；投标报价未超过比选文件中规定的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采购包预算金额或者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项目/</w:t>
            </w: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采购包最高限价（或者比选文件另有规定的）；</w:t>
            </w:r>
          </w:p>
        </w:tc>
      </w:tr>
      <w:tr w14:paraId="4678B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DAB553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4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DC5C6">
            <w:pPr>
              <w:widowControl/>
              <w:jc w:val="center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报价合理性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5C8FC">
            <w:pPr>
              <w:widowControl/>
              <w:jc w:val="left"/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报价合理，或供应商的报价明显低于其他通过符合性审查供应商的报价，有可能影响产品质量或者不能诚信履约的，能够应评审小组要求在规定时间内证明其报价合理性的；</w:t>
            </w:r>
          </w:p>
        </w:tc>
      </w:tr>
      <w:tr w14:paraId="02810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BF50E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5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9964C6">
            <w:pPr>
              <w:widowControl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签署、盖章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5C849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按照比选文件要求签署、盖章的；</w:t>
            </w:r>
          </w:p>
        </w:tc>
      </w:tr>
      <w:tr w14:paraId="0D481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E0C879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6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B06B1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实质性格式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474EA1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标记为“实质性格式”的文件均按比选文件要求提供的；</w:t>
            </w:r>
          </w:p>
        </w:tc>
      </w:tr>
      <w:tr w14:paraId="0EA80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B691B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7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E4C809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采购需求偏离表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F87AC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按比选文件要求提供；</w:t>
            </w:r>
          </w:p>
        </w:tc>
      </w:tr>
      <w:tr w14:paraId="29F5EE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4FBAF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8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A32B03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串通投标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56BEF">
            <w:pPr>
              <w:autoSpaceDE w:val="0"/>
              <w:spacing w:line="273" w:lineRule="auto"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不存在《政府采购货物和服务招标投标管理办法》视为供应商串通投标的情形：（一）不同供应商的响应文件由同一单位或者个人编制；（二）不同供应商委托同一单位或者个人办理投标事宜；（三）不同供应商的响应文件载明的项目管理成员或者联系人员为同一人；（四）不同供应商的响应文件异常一致或者投标报价呈规律性差异；（五）不同供应商的响应文件相互混装；（六）不同供应商的保证金从同一单位或者个人的账户转出；</w:t>
            </w:r>
          </w:p>
        </w:tc>
      </w:tr>
      <w:tr w14:paraId="57346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3" w:hRule="atLeast"/>
          <w:jc w:val="center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227C2">
            <w:pPr>
              <w:autoSpaceDE w:val="0"/>
              <w:spacing w:line="273" w:lineRule="auto"/>
              <w:jc w:val="center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  <w:t>9</w:t>
            </w:r>
          </w:p>
        </w:tc>
        <w:tc>
          <w:tcPr>
            <w:tcW w:w="1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D00D2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其他无效情形</w:t>
            </w:r>
          </w:p>
        </w:tc>
        <w:tc>
          <w:tcPr>
            <w:tcW w:w="6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4CC80">
            <w:pPr>
              <w:widowControl/>
              <w:jc w:val="left"/>
              <w:rPr>
                <w:rFonts w:hint="eastAsia" w:ascii="仿宋" w:hAnsi="仿宋" w:eastAsia="仿宋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000000"/>
                <w:kern w:val="0"/>
                <w:sz w:val="24"/>
                <w:szCs w:val="24"/>
              </w:rPr>
              <w:t>供响应文件不存在不符合法律、法规和比选文件规定的其他无效情形。</w:t>
            </w:r>
          </w:p>
        </w:tc>
      </w:tr>
    </w:tbl>
    <w:p w14:paraId="63F6FC4E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符合性审查总体结论记录表</w:t>
      </w:r>
    </w:p>
    <w:p w14:paraId="589A1C98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评审员填写指引：</w:t>
      </w:r>
    </w:p>
    <w:p w14:paraId="0924DC2A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请根据上表对每家参选人进行逐项审查，并在对应“审查结论”栏勾选“符合”或“不符合”。</w:t>
      </w:r>
    </w:p>
    <w:p w14:paraId="0521A7BC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完成逐项审查后，根据评审原则，在本表记录总体结论。</w:t>
      </w:r>
    </w:p>
    <w:p w14:paraId="105F5BD5">
      <w:pPr>
        <w:widowControl/>
        <w:numPr>
          <w:ilvl w:val="0"/>
          <w:numId w:val="2"/>
        </w:numPr>
        <w:shd w:val="clear" w:color="auto" w:fill="FFFFFF"/>
        <w:tabs>
          <w:tab w:val="clear" w:pos="720"/>
        </w:tabs>
        <w:spacing w:line="520" w:lineRule="exact"/>
        <w:ind w:left="0" w:firstLine="0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>对结论为“不符合”的参选人，必须在“不符合原因说明”栏中，清晰、具体地注明所违反的审查项目序号及事实依据。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6"/>
        <w:gridCol w:w="2732"/>
        <w:gridCol w:w="1404"/>
        <w:gridCol w:w="3349"/>
      </w:tblGrid>
      <w:tr w14:paraId="68CA0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47331F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评审顺序号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D6D3E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参选人名称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665714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总体结论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BF3EBE8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bCs/>
                <w:kern w:val="0"/>
                <w:szCs w:val="21"/>
              </w:rPr>
            </w:pPr>
            <w:r>
              <w:rPr>
                <w:rFonts w:ascii="仿宋" w:hAnsi="仿宋" w:eastAsia="仿宋" w:cs="宋体"/>
                <w:bCs/>
                <w:kern w:val="0"/>
                <w:szCs w:val="21"/>
              </w:rPr>
              <w:t>不符合原因说明 (仅当结论为“不符合”时填写)</w:t>
            </w:r>
          </w:p>
        </w:tc>
      </w:tr>
      <w:tr w14:paraId="0045B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29E5D1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5AD01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61BAF7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5954646A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548FA0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6B877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777146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E3581FE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6DDC24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061DEEC7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16D387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51A1B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1DCB9A2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D1EE10B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C26574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符合 </w:t>
            </w:r>
          </w:p>
          <w:p w14:paraId="752006A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Segoe UI Symbol" w:hAnsi="Segoe UI Symbol" w:eastAsia="仿宋" w:cs="Segoe UI Symbol"/>
                <w:kern w:val="0"/>
                <w:szCs w:val="21"/>
              </w:rPr>
              <w:t>☐</w:t>
            </w:r>
            <w:r>
              <w:rPr>
                <w:rFonts w:ascii="仿宋" w:hAnsi="仿宋" w:eastAsia="仿宋" w:cs="宋体"/>
                <w:kern w:val="0"/>
                <w:szCs w:val="21"/>
              </w:rPr>
              <w:t xml:space="preserve"> 不符合</w:t>
            </w: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C9310AA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</w:tr>
      <w:tr w14:paraId="16BAD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E18C8B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…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8B3644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ascii="仿宋" w:hAnsi="仿宋" w:eastAsia="仿宋" w:cs="宋体"/>
                <w:kern w:val="0"/>
                <w:szCs w:val="21"/>
              </w:rPr>
              <w:t>（可根据实际参选人数添加行）</w:t>
            </w:r>
          </w:p>
        </w:tc>
        <w:tc>
          <w:tcPr>
            <w:tcW w:w="14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493A770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宋体"/>
                <w:kern w:val="0"/>
                <w:szCs w:val="21"/>
              </w:rPr>
            </w:pPr>
          </w:p>
        </w:tc>
        <w:tc>
          <w:tcPr>
            <w:tcW w:w="33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1C831F">
            <w:pPr>
              <w:widowControl/>
              <w:spacing w:line="520" w:lineRule="exact"/>
              <w:contextualSpacing/>
              <w:jc w:val="left"/>
              <w:rPr>
                <w:rFonts w:hint="eastAsia" w:ascii="仿宋" w:hAnsi="仿宋" w:eastAsia="仿宋" w:cs="Times New Roman"/>
                <w:kern w:val="0"/>
                <w:szCs w:val="21"/>
              </w:rPr>
            </w:pPr>
          </w:p>
        </w:tc>
      </w:tr>
    </w:tbl>
    <w:p w14:paraId="502EAAF7">
      <w:pPr>
        <w:widowControl/>
        <w:shd w:val="clear" w:color="auto" w:fill="FFFFFF"/>
        <w:spacing w:line="520" w:lineRule="exact"/>
        <w:contextualSpacing/>
        <w:jc w:val="left"/>
        <w:rPr>
          <w:rFonts w:hint="eastAsia"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bCs/>
          <w:color w:val="0F1115"/>
          <w:kern w:val="0"/>
          <w:szCs w:val="21"/>
        </w:rPr>
        <w:t>评审委员会确认：</w:t>
      </w:r>
      <w:r>
        <w:rPr>
          <w:rFonts w:ascii="仿宋" w:hAnsi="仿宋" w:eastAsia="仿宋" w:cs="Segoe UI"/>
          <w:color w:val="0F1115"/>
          <w:kern w:val="0"/>
          <w:szCs w:val="21"/>
        </w:rPr>
        <w:br w:type="textWrapping"/>
      </w:r>
      <w:r>
        <w:rPr>
          <w:rFonts w:ascii="仿宋" w:hAnsi="仿宋" w:eastAsia="仿宋" w:cs="Segoe UI"/>
          <w:color w:val="0F1115"/>
          <w:kern w:val="0"/>
          <w:szCs w:val="21"/>
        </w:rPr>
        <w:t>我们确认，已根据比选文件规定的符合性审查要求，对所有参选文件进行了审查，并依据评审原则形成上述总体结论。</w:t>
      </w:r>
    </w:p>
    <w:p w14:paraId="0BB71844">
      <w:pPr>
        <w:widowControl/>
        <w:shd w:val="clear" w:color="auto" w:fill="FFFFFF"/>
        <w:spacing w:line="520" w:lineRule="exact"/>
        <w:contextualSpacing/>
        <w:jc w:val="left"/>
        <w:rPr>
          <w:rFonts w:ascii="仿宋" w:hAnsi="仿宋" w:eastAsia="仿宋" w:cs="Segoe UI"/>
          <w:color w:val="0F1115"/>
          <w:kern w:val="0"/>
          <w:szCs w:val="21"/>
        </w:rPr>
      </w:pPr>
      <w:r>
        <w:rPr>
          <w:rFonts w:ascii="仿宋" w:hAnsi="仿宋" w:eastAsia="仿宋" w:cs="Segoe UI"/>
          <w:color w:val="0F1115"/>
          <w:kern w:val="0"/>
          <w:szCs w:val="21"/>
        </w:rPr>
        <w:t xml:space="preserve">评审员（签字）：__________ __________ __________ </w:t>
      </w:r>
    </w:p>
    <w:p w14:paraId="192D6B1D">
      <w:r>
        <w:rPr>
          <w:rFonts w:ascii="仿宋" w:hAnsi="仿宋" w:eastAsia="仿宋" w:cs="Segoe UI"/>
          <w:color w:val="0F1115"/>
          <w:kern w:val="0"/>
          <w:szCs w:val="21"/>
        </w:rPr>
        <w:t>日 期：__________年______月______日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0"/>
    <w:multiLevelType w:val="multilevel"/>
    <w:tmpl w:val="00000010"/>
    <w:lvl w:ilvl="0" w:tentative="0">
      <w:start w:val="1"/>
      <w:numFmt w:val="upperLetter"/>
      <w:pStyle w:val="2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30502BAE"/>
    <w:multiLevelType w:val="multilevel"/>
    <w:tmpl w:val="30502BAE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B94A55"/>
    <w:rsid w:val="6CB9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tabs>
        <w:tab w:val="left" w:pos="1150"/>
      </w:tabs>
      <w:autoSpaceDE w:val="0"/>
      <w:autoSpaceDN w:val="0"/>
      <w:adjustRightInd w:val="0"/>
      <w:outlineLvl w:val="0"/>
    </w:pPr>
    <w:rPr>
      <w:rFonts w:ascii="Calibri"/>
      <w:sz w:val="28"/>
      <w:szCs w:val="20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 Normal1"/>
    <w:basedOn w:val="3"/>
    <w:qFormat/>
    <w:uiPriority w:val="0"/>
    <w:rPr>
      <w:rFonts w:ascii="Times New Roman" w:hAnsi="Times New Roman" w:eastAsia="Times New Roman" w:cs="Times New Roman"/>
    </w:rPr>
    <w:tblPr>
      <w:tblCellMar>
        <w:left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2026-10-15T06:32:00Z</dcterms:created>
  <dc:creator>Lyn</dc:creator>
  <cp:lastModifiedBy>Lyn</cp:lastModifiedBy>
  <dcterms:modified xsi:type="dcterms:W3CDTF">2026-10-15T06:34:18Z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E48A48BF4BD54F4490BFD8F88C33767C_11</vt:lpwstr>
  </property>
  <property fmtid="{D5CDD505-2E9C-101B-9397-08002B2CF9AE}" pid="4" name="KSOTemplateDocerSaveRecord">
    <vt:lpwstr>eyJoZGlkIjoiMzI1NTc2YjM3YjBhNGRlYTk3YmY1YzQ4ZGRhMmI5ZWUiLCJ1c2VySWQiOiI0MzA1OTk4ODEifQ==</vt:lpwstr>
  </property>
</Properties>
</file>