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ED45D0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/>
          <w:b/>
          <w:color w:val="0F1115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b/>
          <w:color w:val="0F1115"/>
          <w:sz w:val="32"/>
          <w:szCs w:val="32"/>
          <w:shd w:val="clear" w:color="auto" w:fill="FFFFFF"/>
        </w:rPr>
        <w:t>附件五：</w:t>
      </w:r>
      <w:r>
        <w:rPr>
          <w:rFonts w:ascii="仿宋" w:hAnsi="仿宋" w:eastAsia="仿宋"/>
          <w:b/>
          <w:color w:val="0F1115"/>
          <w:sz w:val="32"/>
          <w:szCs w:val="32"/>
          <w:shd w:val="clear" w:color="auto" w:fill="FFFFFF"/>
        </w:rPr>
        <w:t>综合评分表（总分</w:t>
      </w:r>
      <w:r>
        <w:rPr>
          <w:rFonts w:hint="eastAsia" w:ascii="仿宋" w:hAnsi="仿宋" w:eastAsia="仿宋"/>
          <w:b/>
          <w:color w:val="0F1115"/>
          <w:sz w:val="32"/>
          <w:szCs w:val="32"/>
          <w:shd w:val="clear" w:color="auto" w:fill="FFFFFF"/>
        </w:rPr>
        <w:t>1</w:t>
      </w:r>
      <w:r>
        <w:rPr>
          <w:rFonts w:ascii="仿宋" w:hAnsi="仿宋" w:eastAsia="仿宋"/>
          <w:b/>
          <w:color w:val="0F1115"/>
          <w:sz w:val="32"/>
          <w:szCs w:val="32"/>
          <w:shd w:val="clear" w:color="auto" w:fill="FFFFFF"/>
        </w:rPr>
        <w:t>00分）</w:t>
      </w:r>
    </w:p>
    <w:p w14:paraId="3D407D23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/>
          <w:color w:val="0F1115"/>
          <w:sz w:val="32"/>
          <w:szCs w:val="32"/>
          <w:shd w:val="clear" w:color="auto" w:fill="FFFFFF"/>
        </w:rPr>
      </w:pPr>
      <w:r>
        <w:rPr>
          <w:rFonts w:ascii="仿宋" w:hAnsi="仿宋" w:eastAsia="仿宋"/>
          <w:color w:val="0F1115"/>
          <w:sz w:val="32"/>
          <w:szCs w:val="32"/>
          <w:shd w:val="clear" w:color="auto" w:fill="FFFFFF"/>
        </w:rPr>
        <w:t>项目名称：</w:t>
      </w:r>
      <w:r>
        <w:rPr>
          <w:rFonts w:hint="eastAsia" w:ascii="仿宋" w:hAnsi="仿宋" w:eastAsia="仿宋"/>
          <w:color w:val="0F1115"/>
          <w:sz w:val="32"/>
          <w:szCs w:val="32"/>
          <w:shd w:val="clear" w:color="auto" w:fill="FFFFFF"/>
        </w:rPr>
        <w:t>订购“2027年北京地区外文医学期刊共享库”</w:t>
      </w:r>
      <w:r>
        <w:rPr>
          <w:rFonts w:ascii="仿宋" w:hAnsi="仿宋" w:eastAsia="仿宋"/>
          <w:color w:val="0F1115"/>
          <w:sz w:val="32"/>
          <w:szCs w:val="32"/>
          <w:shd w:val="clear" w:color="auto" w:fill="FFFFFF"/>
        </w:rPr>
        <w:t>服务项目</w:t>
      </w:r>
    </w:p>
    <w:tbl>
      <w:tblPr>
        <w:tblStyle w:val="3"/>
        <w:tblW w:w="9923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76"/>
        <w:gridCol w:w="1701"/>
        <w:gridCol w:w="4395"/>
        <w:gridCol w:w="1134"/>
        <w:gridCol w:w="1417"/>
      </w:tblGrid>
      <w:tr w14:paraId="4AA18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27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FACA02D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评分部分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846AC2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评分因素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61FF21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评分标准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38F4A2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分值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B59CAD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分值属性</w:t>
            </w:r>
          </w:p>
        </w:tc>
      </w:tr>
      <w:tr w14:paraId="788A4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73A2E2E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价格部分 (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30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分)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DC5AED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参选报价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30C947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满足比选文件要求且参选价格最低的报价为评审基准价，其价格分为满分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3</w:t>
            </w:r>
            <w:r>
              <w:rPr>
                <w:rFonts w:ascii="仿宋" w:hAnsi="仿宋" w:eastAsia="仿宋" w:cs="宋体"/>
                <w:b/>
                <w:bCs/>
                <w:kern w:val="0"/>
                <w:szCs w:val="21"/>
              </w:rPr>
              <w:t>0</w:t>
            </w:r>
            <w:r>
              <w:rPr>
                <w:rFonts w:ascii="仿宋" w:hAnsi="仿宋" w:eastAsia="仿宋" w:cs="宋体"/>
                <w:kern w:val="0"/>
                <w:szCs w:val="21"/>
              </w:rPr>
              <w:t>分。</w:t>
            </w:r>
            <w:r>
              <w:rPr>
                <w:rFonts w:ascii="仿宋" w:hAnsi="仿宋" w:eastAsia="仿宋" w:cs="宋体"/>
                <w:kern w:val="0"/>
                <w:szCs w:val="21"/>
              </w:rPr>
              <w:br w:type="textWrapping"/>
            </w:r>
            <w:r>
              <w:rPr>
                <w:rFonts w:ascii="仿宋" w:hAnsi="仿宋" w:eastAsia="仿宋" w:cs="宋体"/>
                <w:kern w:val="0"/>
                <w:szCs w:val="21"/>
              </w:rPr>
              <w:t>其他参选人的价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 xml:space="preserve"> </w:t>
            </w:r>
            <w:r>
              <w:rPr>
                <w:rFonts w:ascii="仿宋" w:hAnsi="仿宋" w:eastAsia="仿宋" w:cs="宋体"/>
                <w:kern w:val="0"/>
                <w:szCs w:val="21"/>
              </w:rPr>
              <w:t>格分统一按照下列公式计算：</w:t>
            </w:r>
            <w:r>
              <w:rPr>
                <w:rFonts w:ascii="仿宋" w:hAnsi="仿宋" w:eastAsia="仿宋" w:cs="宋体"/>
                <w:kern w:val="0"/>
                <w:szCs w:val="21"/>
              </w:rPr>
              <w:br w:type="textWrapping"/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价格得分 = (评审基准价 / 参选报价) ×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30</w:t>
            </w:r>
            <w:r>
              <w:rPr>
                <w:rFonts w:ascii="仿宋" w:hAnsi="仿宋" w:eastAsia="仿宋" w:cs="宋体"/>
                <w:kern w:val="0"/>
                <w:szCs w:val="21"/>
              </w:rPr>
              <w:t>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4FA605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30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7CA0947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客观</w:t>
            </w:r>
          </w:p>
        </w:tc>
      </w:tr>
      <w:tr w14:paraId="5D5E5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6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D14FE8A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商务部分 (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25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分)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861BFB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同类项目业绩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3CAC8F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202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3</w:t>
            </w:r>
            <w:r>
              <w:rPr>
                <w:rFonts w:ascii="仿宋" w:hAnsi="仿宋" w:eastAsia="仿宋" w:cs="宋体"/>
                <w:kern w:val="0"/>
                <w:szCs w:val="21"/>
              </w:rPr>
              <w:t>年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9</w:t>
            </w:r>
            <w:r>
              <w:rPr>
                <w:rFonts w:ascii="仿宋" w:hAnsi="仿宋" w:eastAsia="仿宋" w:cs="宋体"/>
                <w:kern w:val="0"/>
                <w:szCs w:val="21"/>
              </w:rPr>
              <w:t>月1日至今供应商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具有</w:t>
            </w:r>
            <w:r>
              <w:rPr>
                <w:rFonts w:ascii="仿宋" w:hAnsi="仿宋" w:eastAsia="仿宋" w:cs="宋体"/>
                <w:kern w:val="0"/>
                <w:szCs w:val="21"/>
              </w:rPr>
              <w:t>同类项目实施案例（需附合同关键页复印件，复印件内容需体现合同名称、签订双方名称、合同金额、签订时间、主要服务内容以及双方盖章页，案例时间以合同签订时间为准）；每提供1个有效业绩得2分，以此类推，满分为10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01ACA1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10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A2B8194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客观</w:t>
            </w:r>
          </w:p>
        </w:tc>
      </w:tr>
      <w:tr w14:paraId="4A1E7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5" w:hRule="atLeast"/>
        </w:trPr>
        <w:tc>
          <w:tcPr>
            <w:tcW w:w="1276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92E45B3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3E4D43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项目团队配置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B7CA1B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根据供应商拟派本项目团队配置情况进行综合评审，内容包括但不限于人员配备情况及分工、岗位职责、主要人员类似项目经验、人员培训计划、人员管理措施等方面。</w:t>
            </w:r>
          </w:p>
          <w:p w14:paraId="50FED851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人员分工明确、配备齐全，岗位职责明确，主要人员类似项目经验丰富，人员培训计划安排合理，人员管理措施详细，对项目实际需要的契合度高，能完全满足采购需求，得15分；</w:t>
            </w:r>
          </w:p>
          <w:p w14:paraId="0D9CF3A3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人员分工较明确、配备较齐全，岗位职责较明确，主要人员有一定的类似项目经验，人员培训计划安排较合理，人员管理措施较详细，对项目实际需要有一定的契合度，基本能满足采购需求，得10分；</w:t>
            </w:r>
          </w:p>
          <w:p w14:paraId="17D78DE9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人员分工不够明确、配备欠齐全，岗位职责不够明确，主要人员没有类似项目经验，人员培训计划安排欠合理，人员管理措施简陋，未契合项目实际需要，无法满足采购需求，得5分；</w:t>
            </w:r>
          </w:p>
          <w:p w14:paraId="14905F8D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未提供此项内容不得分。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8339D8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DFD663C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客观/主观</w:t>
            </w:r>
          </w:p>
        </w:tc>
      </w:tr>
      <w:tr w14:paraId="6E821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86" w:hRule="atLeast"/>
        </w:trPr>
        <w:tc>
          <w:tcPr>
            <w:tcW w:w="1276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AE0ECC7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技术部分 (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45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分)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41249A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资源内容符合性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7DCECB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完全满足采购需求得15分，每出现1项一般参数负偏离扣1分，扣完为止；</w:t>
            </w:r>
          </w:p>
          <w:p w14:paraId="5A6E05AB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出现任一核心参数负偏离（如期刊数量不足290种、非本地镜像部署等），本项直接得0分。</w:t>
            </w:r>
          </w:p>
          <w:p w14:paraId="1C103771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★核心参数：①收录医药卫生专业期刊≥290种；②全文文献量≥200万篇；③数据按月更新；④本地镜像部署。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9B5A7A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E3F696F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主观</w:t>
            </w:r>
          </w:p>
        </w:tc>
      </w:tr>
      <w:tr w14:paraId="4C805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6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520C936">
            <w:pPr>
              <w:widowControl/>
              <w:spacing w:line="276" w:lineRule="auto"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CE4AF5">
            <w:pPr>
              <w:widowControl/>
              <w:spacing w:line="276" w:lineRule="auto"/>
              <w:contextualSpacing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平台功能响应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A97654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完全满足检索、使用等功能要求得15分：</w:t>
            </w:r>
          </w:p>
          <w:p w14:paraId="01953203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1. 支持简单检索、高级检索、二次检索、导航检索（7分，缺1项扣1分）；</w:t>
            </w:r>
          </w:p>
          <w:p w14:paraId="17357875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2. 检索字段覆盖篇名、作者、关键词、机构、摘要等不少于10个字段，支持逻辑运算（4分）；</w:t>
            </w:r>
          </w:p>
          <w:p w14:paraId="4D55D5B9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3. 全文为可编辑PDF格式（4分）。</w:t>
            </w:r>
          </w:p>
          <w:p w14:paraId="33CBE566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每有1项不满足扣对应分值，扣完为止。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A8CA09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F9B896B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主观</w:t>
            </w:r>
          </w:p>
        </w:tc>
      </w:tr>
      <w:tr w14:paraId="43B32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6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8D24FA1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E6D40F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运维响应机制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A9CC4C">
            <w:pPr>
              <w:pStyle w:val="2"/>
              <w:numPr>
                <w:ilvl w:val="0"/>
                <w:numId w:val="0"/>
              </w:numPr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  <w:t>1. 优秀（15分）：同时承诺①7×24小时多渠道（热线+邮件+远程）技术支持；②故障24小时内到场解决；③每季度提供1次系统巡检；④具备系统故障应急恢复机制；</w:t>
            </w:r>
          </w:p>
          <w:p w14:paraId="1254A8BA">
            <w:pPr>
              <w:pStyle w:val="2"/>
              <w:numPr>
                <w:ilvl w:val="0"/>
                <w:numId w:val="0"/>
              </w:numPr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  <w:t>2. 良好（12分）：满足7×24小时响应和定期巡检，但未明确到场时限或应急方案不完整；</w:t>
            </w:r>
          </w:p>
          <w:p w14:paraId="7D10D00A">
            <w:pPr>
              <w:pStyle w:val="2"/>
              <w:numPr>
                <w:ilvl w:val="0"/>
                <w:numId w:val="0"/>
              </w:numPr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  <w:t>3. 一般（8分）：仅承诺基础响应，无具体服务标准；</w:t>
            </w:r>
          </w:p>
          <w:p w14:paraId="00E17E1B">
            <w:pPr>
              <w:pStyle w:val="2"/>
              <w:numPr>
                <w:ilvl w:val="0"/>
                <w:numId w:val="0"/>
              </w:numPr>
              <w:rPr>
                <w:rFonts w:hint="eastAsia"/>
              </w:rPr>
            </w:pPr>
            <w:r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  <w:t>4. 差（0分）：无法满足核心服务要求。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8D2ACA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FD240CC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主观</w:t>
            </w:r>
          </w:p>
        </w:tc>
      </w:tr>
      <w:tr w14:paraId="50F3C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372" w:type="dxa"/>
            <w:gridSpan w:val="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69BB4DA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总评分</w:t>
            </w:r>
            <w:bookmarkStart w:id="0" w:name="_GoBack"/>
            <w:bookmarkEnd w:id="0"/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483A4F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100分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1325525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Times New Roman"/>
                <w:kern w:val="0"/>
                <w:szCs w:val="21"/>
              </w:rPr>
            </w:pPr>
          </w:p>
        </w:tc>
      </w:tr>
    </w:tbl>
    <w:p w14:paraId="7096BBE3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评审委员会确认：</w:t>
      </w:r>
    </w:p>
    <w:p w14:paraId="573F32FB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color w:val="0F1115"/>
          <w:kern w:val="0"/>
          <w:sz w:val="24"/>
          <w:szCs w:val="24"/>
        </w:rPr>
        <w:t>我们确认，已根据比选文件规定的评审标准和程序，对所有通过资格性及符合性审查的参选文件进行了独立、公正的评审，并依据上表评分标准得出各项得分及总评分。</w:t>
      </w:r>
    </w:p>
    <w:p w14:paraId="0128C604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color w:val="0F1115"/>
          <w:kern w:val="0"/>
          <w:sz w:val="24"/>
          <w:szCs w:val="24"/>
        </w:rPr>
        <w:t xml:space="preserve">评审员（签字）：__________ </w:t>
      </w:r>
    </w:p>
    <w:p w14:paraId="090B7DCB">
      <w:r>
        <w:rPr>
          <w:rFonts w:ascii="仿宋" w:hAnsi="仿宋" w:eastAsia="仿宋" w:cs="Segoe UI"/>
          <w:color w:val="0F1115"/>
          <w:kern w:val="0"/>
          <w:sz w:val="24"/>
          <w:szCs w:val="24"/>
        </w:rPr>
        <w:t>日 期：__________年______月______日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0"/>
    <w:multiLevelType w:val="multilevel"/>
    <w:tmpl w:val="00000010"/>
    <w:lvl w:ilvl="0" w:tentative="0">
      <w:start w:val="1"/>
      <w:numFmt w:val="upperLetter"/>
      <w:pStyle w:val="2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6759C4"/>
    <w:rsid w:val="40675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tabs>
        <w:tab w:val="left" w:pos="1150"/>
      </w:tabs>
      <w:autoSpaceDE w:val="0"/>
      <w:autoSpaceDN w:val="0"/>
      <w:adjustRightInd w:val="0"/>
      <w:outlineLvl w:val="0"/>
    </w:pPr>
    <w:rPr>
      <w:rFonts w:ascii="Calibri"/>
      <w:sz w:val="28"/>
      <w:szCs w:val="20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2026-10-15T06:33:00Z</dcterms:created>
  <dc:creator>Lyn</dc:creator>
  <cp:lastModifiedBy>Lyn</cp:lastModifiedBy>
  <dcterms:modified xsi:type="dcterms:W3CDTF">2026-10-15T06:34:27Z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B0E82493980E4732A5D89CA013C39A45_11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